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DFB" w:rsidRPr="000512E2" w:rsidRDefault="00267DFB" w:rsidP="000512E2">
      <w:pPr>
        <w:jc w:val="center"/>
        <w:rPr>
          <w:b/>
          <w:caps/>
        </w:rPr>
      </w:pPr>
      <w:r w:rsidRPr="000512E2">
        <w:rPr>
          <w:b/>
          <w:caps/>
        </w:rPr>
        <w:t>Risk Assessment and Performance Evaluation</w:t>
      </w:r>
    </w:p>
    <w:p w:rsidR="00267DFB" w:rsidRDefault="00267DFB" w:rsidP="00001387">
      <w:pPr>
        <w:jc w:val="both"/>
      </w:pPr>
    </w:p>
    <w:p w:rsidR="00267DFB" w:rsidRPr="002517EF" w:rsidRDefault="002517EF" w:rsidP="002517EF">
      <w:pPr>
        <w:jc w:val="center"/>
        <w:rPr>
          <w:i/>
        </w:rPr>
      </w:pPr>
      <w:r w:rsidRPr="002517EF">
        <w:rPr>
          <w:i/>
        </w:rPr>
        <w:t>Is a mutual fund wit</w:t>
      </w:r>
      <w:r w:rsidR="006F404B">
        <w:rPr>
          <w:i/>
        </w:rPr>
        <w:t>h 9</w:t>
      </w:r>
      <w:r w:rsidRPr="002517EF">
        <w:rPr>
          <w:i/>
        </w:rPr>
        <w:t xml:space="preserve">% return better than one earning </w:t>
      </w:r>
      <w:r w:rsidR="006F404B">
        <w:rPr>
          <w:i/>
        </w:rPr>
        <w:t>8</w:t>
      </w:r>
      <w:r w:rsidRPr="002517EF">
        <w:rPr>
          <w:i/>
        </w:rPr>
        <w:t>%? It depends on the risks taken to ach</w:t>
      </w:r>
      <w:r>
        <w:rPr>
          <w:i/>
        </w:rPr>
        <w:t xml:space="preserve">ieve those results. </w:t>
      </w:r>
      <w:r w:rsidRPr="002517EF">
        <w:rPr>
          <w:i/>
        </w:rPr>
        <w:t>Which manager assumed more risk? Did those risks translate into rewards?</w:t>
      </w:r>
      <w:r w:rsidR="00D47E43">
        <w:rPr>
          <w:rStyle w:val="FootnoteReference"/>
        </w:rPr>
        <w:footnoteReference w:id="1"/>
      </w:r>
    </w:p>
    <w:p w:rsidR="002517EF" w:rsidRDefault="002517EF" w:rsidP="00001387">
      <w:pPr>
        <w:jc w:val="both"/>
      </w:pPr>
    </w:p>
    <w:p w:rsidR="008D52F9" w:rsidRDefault="008D52F9" w:rsidP="00001387">
      <w:pPr>
        <w:jc w:val="both"/>
      </w:pPr>
      <w:r w:rsidRPr="008D52F9">
        <w:t xml:space="preserve">Most people are </w:t>
      </w:r>
      <w:r w:rsidRPr="008D52F9">
        <w:rPr>
          <w:i/>
        </w:rPr>
        <w:t>risk averse</w:t>
      </w:r>
      <w:r w:rsidRPr="008D52F9">
        <w:t>, in that they wish to minimize the amount of risk they must endure to earn a certain level of expected return</w:t>
      </w:r>
      <w:r>
        <w:t>.</w:t>
      </w:r>
      <w:r w:rsidR="00494D83">
        <w:rPr>
          <w:rStyle w:val="FootnoteReference"/>
        </w:rPr>
        <w:footnoteReference w:id="2"/>
      </w:r>
    </w:p>
    <w:p w:rsidR="008D52F9" w:rsidRDefault="008D52F9" w:rsidP="00001387">
      <w:pPr>
        <w:jc w:val="both"/>
      </w:pPr>
    </w:p>
    <w:p w:rsidR="00001387" w:rsidRPr="004103A3" w:rsidRDefault="004103A3" w:rsidP="00001387">
      <w:pPr>
        <w:jc w:val="both"/>
        <w:rPr>
          <w:i/>
        </w:rPr>
      </w:pPr>
      <w:r w:rsidRPr="004103A3">
        <w:rPr>
          <w:i/>
        </w:rPr>
        <w:t>The B</w:t>
      </w:r>
      <w:r w:rsidR="00001387" w:rsidRPr="004103A3">
        <w:rPr>
          <w:i/>
        </w:rPr>
        <w:t xml:space="preserve">asics: </w:t>
      </w:r>
      <w:r w:rsidR="00302894" w:rsidRPr="004103A3">
        <w:rPr>
          <w:i/>
        </w:rPr>
        <w:t>A</w:t>
      </w:r>
      <w:r w:rsidR="00001387" w:rsidRPr="004103A3">
        <w:rPr>
          <w:i/>
        </w:rPr>
        <w:t xml:space="preserve">lpha </w:t>
      </w:r>
      <w:r w:rsidR="00302894" w:rsidRPr="004103A3">
        <w:rPr>
          <w:i/>
        </w:rPr>
        <w:t>(</w:t>
      </w:r>
      <w:r w:rsidRPr="004103A3">
        <w:rPr>
          <w:i/>
        </w:rPr>
        <w:t xml:space="preserve">α) </w:t>
      </w:r>
      <w:r w:rsidR="00001387" w:rsidRPr="004103A3">
        <w:rPr>
          <w:i/>
        </w:rPr>
        <w:t xml:space="preserve">and </w:t>
      </w:r>
      <w:r w:rsidR="00302894" w:rsidRPr="004103A3">
        <w:rPr>
          <w:i/>
        </w:rPr>
        <w:t>B</w:t>
      </w:r>
      <w:r w:rsidR="00001387" w:rsidRPr="004103A3">
        <w:rPr>
          <w:i/>
        </w:rPr>
        <w:t>eta</w:t>
      </w:r>
      <w:r w:rsidRPr="004103A3">
        <w:rPr>
          <w:i/>
        </w:rPr>
        <w:t xml:space="preserve"> (β)</w:t>
      </w:r>
      <w:r w:rsidR="00302894" w:rsidRPr="004103A3">
        <w:rPr>
          <w:i/>
        </w:rPr>
        <w:t xml:space="preserve">:  </w:t>
      </w:r>
    </w:p>
    <w:p w:rsidR="00001387" w:rsidRDefault="00001387" w:rsidP="00001387">
      <w:pPr>
        <w:jc w:val="both"/>
      </w:pPr>
      <w:r w:rsidRPr="002E440E">
        <w:rPr>
          <w:b/>
        </w:rPr>
        <w:t>Alpha</w:t>
      </w:r>
      <w:r>
        <w:t xml:space="preserve"> measures </w:t>
      </w:r>
      <w:r w:rsidR="00302894">
        <w:t xml:space="preserve">a “manager’s skill” </w:t>
      </w:r>
      <w:r>
        <w:t xml:space="preserve">the difference between actual and expected returns, given an investment’s security-specific risks. If alpha is positive, a manager’s </w:t>
      </w:r>
      <w:r w:rsidR="001805D2">
        <w:t>security selection</w:t>
      </w:r>
      <w:r>
        <w:t xml:space="preserve"> added </w:t>
      </w:r>
      <w:r w:rsidR="001805D2">
        <w:t xml:space="preserve">extra </w:t>
      </w:r>
      <w:r>
        <w:t xml:space="preserve">returns versus the benchmark. If it’s negative, the manager </w:t>
      </w:r>
      <w:r w:rsidR="001805D2">
        <w:t>destroyed value</w:t>
      </w:r>
      <w:r>
        <w:t xml:space="preserve">. </w:t>
      </w:r>
      <w:r w:rsidRPr="002E440E">
        <w:rPr>
          <w:i/>
        </w:rPr>
        <w:t>Example</w:t>
      </w:r>
      <w:r>
        <w:t>: A</w:t>
      </w:r>
      <w:r w:rsidR="001805D2">
        <w:t xml:space="preserve"> positive a</w:t>
      </w:r>
      <w:r>
        <w:t>lpha of 1.8 means an investment beat its benchmark by 1.8%.</w:t>
      </w:r>
    </w:p>
    <w:p w:rsidR="00F14470" w:rsidRDefault="00F14470" w:rsidP="00F14470">
      <w:pPr>
        <w:jc w:val="both"/>
      </w:pPr>
    </w:p>
    <w:p w:rsidR="00F14470" w:rsidRDefault="00CA32FD" w:rsidP="00F14470">
      <w:pPr>
        <w:jc w:val="both"/>
      </w:pPr>
      <w:r w:rsidRPr="00CA32FD">
        <w:rPr>
          <w:position w:val="-20"/>
        </w:rPr>
        <w:object w:dxaOrig="2799" w:dyaOrig="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25pt;height:25.5pt" o:ole="">
            <v:imagedata r:id="rId9" o:title=""/>
          </v:shape>
          <o:OLEObject Type="Embed" ProgID="Equation.DSMT4" ShapeID="_x0000_i1025" DrawAspect="Content" ObjectID="_1444052022" r:id="rId10"/>
        </w:object>
      </w:r>
    </w:p>
    <w:p w:rsidR="00001387" w:rsidRDefault="00001387" w:rsidP="00001387">
      <w:pPr>
        <w:jc w:val="both"/>
      </w:pPr>
    </w:p>
    <w:p w:rsidR="00001387" w:rsidRDefault="00001387" w:rsidP="00001387">
      <w:pPr>
        <w:jc w:val="both"/>
      </w:pPr>
      <w:r w:rsidRPr="002E440E">
        <w:rPr>
          <w:b/>
        </w:rPr>
        <w:t>Beta</w:t>
      </w:r>
      <w:r>
        <w:t xml:space="preserve"> </w:t>
      </w:r>
      <w:r w:rsidR="00B766D6" w:rsidRPr="00B766D6">
        <w:t>is the term for the volatility, or systematic risk, of a security in comparison to the market as a whole</w:t>
      </w:r>
      <w:r w:rsidR="00B766D6">
        <w:t xml:space="preserve">, </w:t>
      </w:r>
      <w:r>
        <w:t xml:space="preserve">such as the S&amp;P 500 Index. </w:t>
      </w:r>
      <w:r w:rsidR="00B766D6" w:rsidRPr="00B766D6">
        <w:t>The beta of the market is 1.00 by definition</w:t>
      </w:r>
      <w:r w:rsidR="00B766D6">
        <w:t xml:space="preserve">.  </w:t>
      </w:r>
      <w:r>
        <w:t xml:space="preserve">Beta can be above 1.0 (more volatile than the index) or below 1.0 (less volatile). </w:t>
      </w:r>
      <w:r w:rsidRPr="002E440E">
        <w:rPr>
          <w:i/>
        </w:rPr>
        <w:t>Example</w:t>
      </w:r>
      <w:r>
        <w:t xml:space="preserve">: </w:t>
      </w:r>
      <w:r w:rsidR="00D47E43">
        <w:t xml:space="preserve">A beta </w:t>
      </w:r>
      <w:r>
        <w:t xml:space="preserve">of </w:t>
      </w:r>
      <w:r w:rsidR="00A93681" w:rsidRPr="00A93681">
        <w:t>1.29</w:t>
      </w:r>
      <w:r>
        <w:t xml:space="preserve"> means an investment has risen and fallen 1.2</w:t>
      </w:r>
      <w:r w:rsidR="00A93681">
        <w:t>9</w:t>
      </w:r>
      <w:r>
        <w:t>% for every 1% move in the index. It’s likely to outperform in up markets and underperform in down markets.</w:t>
      </w:r>
      <w:r w:rsidR="00D47E43">
        <w:t xml:space="preserve">  </w:t>
      </w:r>
    </w:p>
    <w:p w:rsidR="00091CB8" w:rsidRDefault="00091CB8" w:rsidP="00001387">
      <w:pPr>
        <w:jc w:val="both"/>
      </w:pPr>
    </w:p>
    <w:p w:rsidR="00CA32FD" w:rsidRDefault="00CA32FD" w:rsidP="00001387">
      <w:pPr>
        <w:jc w:val="both"/>
      </w:pPr>
      <w:r w:rsidRPr="00CA32FD">
        <w:rPr>
          <w:position w:val="-32"/>
        </w:rPr>
        <w:object w:dxaOrig="1620" w:dyaOrig="740">
          <v:shape id="_x0000_i1026" type="#_x0000_t75" style="width:81pt;height:36.75pt" o:ole="">
            <v:imagedata r:id="rId11" o:title=""/>
          </v:shape>
          <o:OLEObject Type="Embed" ProgID="Equation.DSMT4" ShapeID="_x0000_i1026" DrawAspect="Content" ObjectID="_1444052023" r:id="rId12"/>
        </w:object>
      </w:r>
    </w:p>
    <w:p w:rsidR="006023B1" w:rsidRDefault="006023B1" w:rsidP="00001387">
      <w:pPr>
        <w:jc w:val="both"/>
      </w:pPr>
      <w:proofErr w:type="gramStart"/>
      <w:r>
        <w:t>where</w:t>
      </w:r>
      <w:proofErr w:type="gramEnd"/>
      <w:r>
        <w:t xml:space="preserve">, </w:t>
      </w:r>
      <w:r w:rsidRPr="006023B1">
        <w:rPr>
          <w:position w:val="-28"/>
        </w:rPr>
        <w:object w:dxaOrig="5000" w:dyaOrig="580">
          <v:shape id="_x0000_i1027" type="#_x0000_t75" style="width:249.75pt;height:29.25pt" o:ole="">
            <v:imagedata r:id="rId13" o:title=""/>
          </v:shape>
          <o:OLEObject Type="Embed" ProgID="Equation.DSMT4" ShapeID="_x0000_i1027" DrawAspect="Content" ObjectID="_1444052024" r:id="rId14"/>
        </w:object>
      </w:r>
      <w:r>
        <w:t xml:space="preserve">and </w:t>
      </w:r>
      <w:r w:rsidRPr="006023B1">
        <w:rPr>
          <w:position w:val="-24"/>
        </w:rPr>
        <w:object w:dxaOrig="3019" w:dyaOrig="800">
          <v:shape id="_x0000_i1028" type="#_x0000_t75" style="width:150.75pt;height:39.75pt" o:ole="">
            <v:imagedata r:id="rId15" o:title=""/>
          </v:shape>
          <o:OLEObject Type="Embed" ProgID="Equation.DSMT4" ShapeID="_x0000_i1028" DrawAspect="Content" ObjectID="_1444052025" r:id="rId16"/>
        </w:object>
      </w:r>
    </w:p>
    <w:p w:rsidR="00CA32FD" w:rsidRDefault="00CA32FD" w:rsidP="00001387">
      <w:pPr>
        <w:jc w:val="both"/>
      </w:pPr>
    </w:p>
    <w:p w:rsidR="008D52F9" w:rsidRDefault="008D52F9" w:rsidP="00001387">
      <w:pPr>
        <w:jc w:val="both"/>
      </w:pPr>
      <w:r w:rsidRPr="003626D7">
        <w:rPr>
          <w:b/>
        </w:rPr>
        <w:t>Variance</w:t>
      </w:r>
      <w:r>
        <w:t xml:space="preserve"> – measures </w:t>
      </w:r>
      <w:r w:rsidR="00494D83" w:rsidRPr="00494D83">
        <w:t xml:space="preserve">the </w:t>
      </w:r>
      <w:r w:rsidR="00494D83">
        <w:t>volatility</w:t>
      </w:r>
      <w:r w:rsidR="00494D83" w:rsidRPr="00494D83">
        <w:t xml:space="preserve"> from an average</w:t>
      </w:r>
      <w:r w:rsidR="003626D7">
        <w:t>,</w:t>
      </w:r>
      <w:r w:rsidR="00494D83" w:rsidRPr="00494D83">
        <w:t xml:space="preserve"> this statistic can help determine the risk an investor might take on when purchasing a specific security</w:t>
      </w:r>
      <w:r w:rsidR="00494D83">
        <w:t xml:space="preserve">.  </w:t>
      </w:r>
      <w:r w:rsidRPr="008D52F9">
        <w:t xml:space="preserve">By using historical returns on a firm's stock, </w:t>
      </w:r>
      <w:r w:rsidR="003626D7">
        <w:t>one</w:t>
      </w:r>
      <w:r w:rsidRPr="008D52F9">
        <w:t xml:space="preserve"> can calculate the variance of past returns</w:t>
      </w:r>
      <w:r w:rsidR="003626D7">
        <w:t>.</w:t>
      </w:r>
    </w:p>
    <w:p w:rsidR="008D52F9" w:rsidRDefault="008D52F9" w:rsidP="00001387">
      <w:pPr>
        <w:jc w:val="both"/>
      </w:pPr>
    </w:p>
    <w:p w:rsidR="008D52F9" w:rsidRDefault="006023B1" w:rsidP="00001387">
      <w:pPr>
        <w:jc w:val="both"/>
      </w:pPr>
      <w:r w:rsidRPr="006023B1">
        <w:rPr>
          <w:position w:val="-30"/>
        </w:rPr>
        <w:object w:dxaOrig="3700" w:dyaOrig="700">
          <v:shape id="_x0000_i1029" type="#_x0000_t75" style="width:185.25pt;height:35.25pt" o:ole="">
            <v:imagedata r:id="rId17" o:title=""/>
          </v:shape>
          <o:OLEObject Type="Embed" ProgID="Equation.DSMT4" ShapeID="_x0000_i1029" DrawAspect="Content" ObjectID="_1444052026" r:id="rId18"/>
        </w:object>
      </w:r>
    </w:p>
    <w:p w:rsidR="008D52F9" w:rsidRDefault="008D52F9" w:rsidP="00001387">
      <w:pPr>
        <w:jc w:val="both"/>
      </w:pPr>
    </w:p>
    <w:p w:rsidR="00001387" w:rsidRDefault="00001387" w:rsidP="00001387">
      <w:pPr>
        <w:jc w:val="both"/>
      </w:pPr>
      <w:r w:rsidRPr="002E440E">
        <w:rPr>
          <w:b/>
        </w:rPr>
        <w:t>Standard deviation</w:t>
      </w:r>
      <w:r>
        <w:t xml:space="preserve"> </w:t>
      </w:r>
      <w:r w:rsidR="008D52F9">
        <w:t xml:space="preserve">(the square root of variance) </w:t>
      </w:r>
      <w:r>
        <w:t>measures risk by the volatility of total returns. Specifically, it indicates how much returns have fluctuated above and below the average. For example, a standard deviation of 15% means an investment averaging 10% annual returns has historically ranged from –5% to +25% each year. Because standard deviation reflects the consistency of performance, it gives you a good idea if you can tolerate an investment’s ups and downs. The higher this number, the more likely you are to experience dramatic moves in either direction.</w:t>
      </w:r>
    </w:p>
    <w:p w:rsidR="00001387" w:rsidRDefault="00001387" w:rsidP="00001387">
      <w:pPr>
        <w:jc w:val="both"/>
      </w:pPr>
    </w:p>
    <w:p w:rsidR="001141E9" w:rsidRDefault="001141E9" w:rsidP="001C0A4B">
      <w:pPr>
        <w:jc w:val="both"/>
        <w:rPr>
          <w:b/>
        </w:rPr>
      </w:pPr>
    </w:p>
    <w:p w:rsidR="001141E9" w:rsidRDefault="001141E9" w:rsidP="001C0A4B">
      <w:pPr>
        <w:jc w:val="both"/>
        <w:rPr>
          <w:b/>
        </w:rPr>
      </w:pPr>
    </w:p>
    <w:p w:rsidR="001141E9" w:rsidRPr="003626D7" w:rsidRDefault="001141E9" w:rsidP="001141E9">
      <w:pPr>
        <w:jc w:val="center"/>
        <w:rPr>
          <w:i/>
        </w:rPr>
      </w:pPr>
      <w:r>
        <w:rPr>
          <w:i/>
        </w:rPr>
        <w:t>R</w:t>
      </w:r>
      <w:r w:rsidRPr="003626D7">
        <w:rPr>
          <w:i/>
        </w:rPr>
        <w:t>eturn is only part of investment performance. Risk is the other part.</w:t>
      </w:r>
    </w:p>
    <w:p w:rsidR="001141E9" w:rsidRDefault="001141E9" w:rsidP="001C0A4B">
      <w:pPr>
        <w:jc w:val="both"/>
        <w:rPr>
          <w:b/>
        </w:rPr>
      </w:pPr>
    </w:p>
    <w:p w:rsidR="001C0A4B" w:rsidRDefault="001C0A4B" w:rsidP="001C0A4B">
      <w:pPr>
        <w:jc w:val="both"/>
      </w:pPr>
      <w:r w:rsidRPr="008C5764">
        <w:rPr>
          <w:b/>
        </w:rPr>
        <w:lastRenderedPageBreak/>
        <w:t>Morningstar’s Risk Adjusted Ratings</w:t>
      </w:r>
      <w:r w:rsidR="0028132D">
        <w:t xml:space="preserve"> </w:t>
      </w:r>
      <w:r>
        <w:t xml:space="preserve">are among the most widely used performance measures.  The </w:t>
      </w:r>
      <w:r w:rsidRPr="008C5764">
        <w:rPr>
          <w:i/>
        </w:rPr>
        <w:t>Morningstar Star Rating</w:t>
      </w:r>
      <w:r>
        <w:t xml:space="preserve"> is based on a comparison of each fund to a peer group.</w:t>
      </w:r>
      <w:r>
        <w:rPr>
          <w:rStyle w:val="FootnoteReference"/>
        </w:rPr>
        <w:footnoteReference w:id="3"/>
      </w:r>
      <w:r>
        <w:t xml:space="preserve">  The risk-adjusted performance is then ranked versus the peer group and stars are awarded based on the percentile.  Funds in the top 10% receive 5 stars, funds between 32.5 and 67.5 receive three stars, and the bottom 10% of funds receives 1 star.</w:t>
      </w:r>
      <w:r>
        <w:rPr>
          <w:rStyle w:val="FootnoteReference"/>
        </w:rPr>
        <w:footnoteReference w:id="4"/>
      </w:r>
    </w:p>
    <w:p w:rsidR="003626D7" w:rsidRDefault="003626D7" w:rsidP="008C5764">
      <w:pPr>
        <w:jc w:val="both"/>
      </w:pPr>
    </w:p>
    <w:p w:rsidR="001141E9" w:rsidRPr="001C0A4B" w:rsidRDefault="001141E9" w:rsidP="001141E9">
      <w:pPr>
        <w:jc w:val="both"/>
        <w:rPr>
          <w:b/>
        </w:rPr>
      </w:pPr>
      <w:r w:rsidRPr="001C0A4B">
        <w:rPr>
          <w:b/>
        </w:rPr>
        <w:t>Example</w:t>
      </w:r>
      <w:r>
        <w:rPr>
          <w:b/>
        </w:rPr>
        <w:t>:</w:t>
      </w:r>
      <w:r w:rsidRPr="001C0A4B">
        <w:rPr>
          <w:b/>
        </w:rPr>
        <w:t xml:space="preserve"> </w:t>
      </w:r>
      <w:r>
        <w:rPr>
          <w:b/>
        </w:rPr>
        <w:t>Morningstar Star Ratings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8"/>
        <w:gridCol w:w="2520"/>
        <w:gridCol w:w="2160"/>
        <w:gridCol w:w="1887"/>
        <w:gridCol w:w="1800"/>
      </w:tblGrid>
      <w:tr w:rsidR="001141E9" w:rsidTr="00661E92"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141E9" w:rsidRDefault="001141E9" w:rsidP="00844077">
            <w:pPr>
              <w:jc w:val="center"/>
            </w:pPr>
            <w:r>
              <w:t>Top 10%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141E9" w:rsidRDefault="001141E9" w:rsidP="00844077">
            <w:pPr>
              <w:jc w:val="center"/>
            </w:pPr>
            <w:r>
              <w:t>67.5 – 90</w:t>
            </w:r>
            <w:r w:rsidRPr="001141E9">
              <w:rPr>
                <w:vertAlign w:val="superscript"/>
              </w:rPr>
              <w:t>th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141E9" w:rsidRDefault="00454098" w:rsidP="00844077">
            <w:pPr>
              <w:jc w:val="center"/>
            </w:pPr>
            <w:r>
              <w:t>32.5-67.5</w:t>
            </w:r>
            <w:r w:rsidRPr="00454098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54098" w:rsidRDefault="001141E9" w:rsidP="00454098">
            <w:pPr>
              <w:jc w:val="center"/>
            </w:pPr>
            <w:r>
              <w:t>10</w:t>
            </w:r>
            <w:r w:rsidR="00661E92">
              <w:t>-32.5</w:t>
            </w:r>
            <w:r w:rsidR="00454098" w:rsidRPr="00454098">
              <w:rPr>
                <w:vertAlign w:val="superscript"/>
              </w:rPr>
              <w:t>th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141E9" w:rsidRDefault="00661E92" w:rsidP="00844077">
            <w:pPr>
              <w:jc w:val="center"/>
            </w:pPr>
            <w:r>
              <w:t>0-10</w:t>
            </w:r>
            <w:r w:rsidR="00454098" w:rsidRPr="00454098">
              <w:rPr>
                <w:vertAlign w:val="superscript"/>
              </w:rPr>
              <w:t>th</w:t>
            </w:r>
            <w:r w:rsidR="00454098">
              <w:t xml:space="preserve"> </w:t>
            </w:r>
          </w:p>
        </w:tc>
      </w:tr>
      <w:tr w:rsidR="001141E9" w:rsidTr="00661E92"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1141E9" w:rsidRDefault="00661E92" w:rsidP="00844077">
            <w:pPr>
              <w:jc w:val="center"/>
            </w:pPr>
            <w:r>
              <w:t>Excellent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1141E9" w:rsidRDefault="00661E92" w:rsidP="00844077">
            <w:pPr>
              <w:jc w:val="center"/>
            </w:pPr>
            <w:r>
              <w:t>G</w:t>
            </w:r>
            <w:r w:rsidR="001141E9">
              <w:t>ood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141E9" w:rsidRDefault="00661E92" w:rsidP="00844077">
            <w:pPr>
              <w:jc w:val="center"/>
            </w:pPr>
            <w:r>
              <w:t>Average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</w:tcPr>
          <w:p w:rsidR="001141E9" w:rsidRDefault="00661E92" w:rsidP="00844077">
            <w:pPr>
              <w:jc w:val="center"/>
            </w:pPr>
            <w:r>
              <w:t>Below Average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1141E9" w:rsidRDefault="00661E92" w:rsidP="00844077">
            <w:pPr>
              <w:jc w:val="center"/>
            </w:pPr>
            <w:r>
              <w:t>Poor</w:t>
            </w:r>
          </w:p>
        </w:tc>
      </w:tr>
    </w:tbl>
    <w:p w:rsidR="001141E9" w:rsidRDefault="001141E9" w:rsidP="001141E9">
      <w:pPr>
        <w:jc w:val="both"/>
      </w:pPr>
      <w:r>
        <w:t xml:space="preserve">Source: </w:t>
      </w:r>
      <w:r w:rsidR="00661E92">
        <w:t xml:space="preserve">Based on (Chapter 18, p.610) </w:t>
      </w:r>
      <w:r w:rsidR="00661E92" w:rsidRPr="00661E92">
        <w:rPr>
          <w:u w:val="single"/>
        </w:rPr>
        <w:t>Essentials of Investments</w:t>
      </w:r>
    </w:p>
    <w:p w:rsidR="001141E9" w:rsidRDefault="001141E9" w:rsidP="008C5764">
      <w:pPr>
        <w:jc w:val="both"/>
      </w:pPr>
    </w:p>
    <w:p w:rsidR="003626D7" w:rsidRDefault="003626D7" w:rsidP="008C5764">
      <w:pPr>
        <w:jc w:val="both"/>
      </w:pPr>
      <w:r w:rsidRPr="004A3865">
        <w:rPr>
          <w:b/>
        </w:rPr>
        <w:t>Sharpe ratio</w:t>
      </w:r>
      <w:r w:rsidR="004103A3">
        <w:t xml:space="preserve"> –</w:t>
      </w:r>
      <w:r w:rsidR="004A3865">
        <w:t xml:space="preserve"> </w:t>
      </w:r>
      <w:r w:rsidR="004A3865" w:rsidRPr="004A3865">
        <w:t>calculates the per unit average return over and above the risk-free rate of return for the portfolio.  The Sharpe ratio measures how much excess return (return above the risk-free rate) an investor each per unit of portfolio risk.</w:t>
      </w:r>
      <w:r w:rsidR="004A3865">
        <w:t xml:space="preserve">  </w:t>
      </w:r>
      <w:r w:rsidR="004A3865" w:rsidRPr="004A3865">
        <w:t>The Sharpe ratio tells us whether a portfolio's returns are due to smart investment decisions or a result of excess risk</w:t>
      </w:r>
      <w:r w:rsidR="004A3865">
        <w:t>.</w:t>
      </w:r>
      <w:r w:rsidR="004A3865">
        <w:rPr>
          <w:rStyle w:val="FootnoteReference"/>
        </w:rPr>
        <w:footnoteReference w:id="5"/>
      </w:r>
    </w:p>
    <w:p w:rsidR="004A3865" w:rsidRDefault="004A3865" w:rsidP="008C5764">
      <w:pPr>
        <w:jc w:val="both"/>
      </w:pPr>
    </w:p>
    <w:p w:rsidR="004A3865" w:rsidRDefault="008000BA" w:rsidP="008C5764">
      <w:pPr>
        <w:jc w:val="both"/>
      </w:pPr>
      <w:r w:rsidRPr="0055251C">
        <w:rPr>
          <w:position w:val="-30"/>
        </w:rPr>
        <w:object w:dxaOrig="4239" w:dyaOrig="760">
          <v:shape id="_x0000_i1030" type="#_x0000_t75" style="width:211.5pt;height:38.25pt" o:ole="">
            <v:imagedata r:id="rId19" o:title=""/>
          </v:shape>
          <o:OLEObject Type="Embed" ProgID="Equation.DSMT4" ShapeID="_x0000_i1030" DrawAspect="Content" ObjectID="_1444052027" r:id="rId20"/>
        </w:object>
      </w:r>
    </w:p>
    <w:p w:rsidR="004A3865" w:rsidRDefault="004A3865" w:rsidP="008C5764">
      <w:pPr>
        <w:jc w:val="both"/>
      </w:pPr>
    </w:p>
    <w:p w:rsidR="00942DD8" w:rsidRDefault="000B0E0B" w:rsidP="004A3865">
      <w:pPr>
        <w:jc w:val="both"/>
      </w:pPr>
      <w:r>
        <w:t>The S</w:t>
      </w:r>
      <w:r w:rsidR="004A3865">
        <w:t>harpe ratio is most helpful when comparing investments within the same category, even if they have different benchmarks. The higher the number, the better the risk-adjusted returns.</w:t>
      </w:r>
    </w:p>
    <w:p w:rsidR="004A3865" w:rsidRDefault="004A3865" w:rsidP="004A3865">
      <w:pPr>
        <w:jc w:val="both"/>
      </w:pPr>
    </w:p>
    <w:p w:rsidR="004A3865" w:rsidRPr="001C0A4B" w:rsidRDefault="004A3865" w:rsidP="004A3865">
      <w:pPr>
        <w:jc w:val="both"/>
        <w:rPr>
          <w:b/>
        </w:rPr>
      </w:pPr>
      <w:r w:rsidRPr="001C0A4B">
        <w:rPr>
          <w:b/>
        </w:rPr>
        <w:t>Example</w:t>
      </w:r>
      <w:r w:rsidR="001C0A4B">
        <w:rPr>
          <w:b/>
        </w:rPr>
        <w:t>:</w:t>
      </w:r>
      <w:r w:rsidRPr="001C0A4B">
        <w:rPr>
          <w:b/>
        </w:rPr>
        <w:t xml:space="preserve"> Sharpe Ratio</w:t>
      </w:r>
      <w:r w:rsidR="001C0A4B">
        <w:rPr>
          <w:b/>
        </w:rPr>
        <w:t>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1800"/>
        <w:gridCol w:w="1800"/>
      </w:tblGrid>
      <w:tr w:rsidR="004A3865" w:rsidTr="004A3865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A3865" w:rsidRDefault="004A3865" w:rsidP="004A3865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A3865" w:rsidRDefault="004A3865" w:rsidP="004A386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A3865" w:rsidRDefault="004A3865" w:rsidP="004A3865">
            <w:pPr>
              <w:jc w:val="center"/>
            </w:pPr>
            <w:r>
              <w:t xml:space="preserve">3 </w:t>
            </w:r>
            <w:r w:rsidRPr="004A3865">
              <w:rPr>
                <w:i/>
              </w:rPr>
              <w:t>or higher</w:t>
            </w:r>
          </w:p>
        </w:tc>
      </w:tr>
      <w:tr w:rsidR="004A3865" w:rsidTr="004A3865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4A3865" w:rsidRDefault="004A3865" w:rsidP="004A3865">
            <w:pPr>
              <w:jc w:val="center"/>
            </w:pPr>
            <w:r>
              <w:t>Good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4A3865" w:rsidRDefault="004A3865" w:rsidP="004A3865">
            <w:pPr>
              <w:jc w:val="center"/>
            </w:pPr>
            <w:r>
              <w:t>Very good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4A3865" w:rsidRDefault="004A3865" w:rsidP="004A3865">
            <w:pPr>
              <w:jc w:val="center"/>
            </w:pPr>
            <w:r>
              <w:t>Excellent</w:t>
            </w:r>
          </w:p>
        </w:tc>
      </w:tr>
    </w:tbl>
    <w:p w:rsidR="004A3865" w:rsidRDefault="004A3865" w:rsidP="004A3865">
      <w:pPr>
        <w:jc w:val="both"/>
      </w:pPr>
      <w:r>
        <w:t>Source: JP Morgan “Spotlight on Risk Assessment” (July 2013)</w:t>
      </w:r>
      <w:r w:rsidRPr="004A3865">
        <w:rPr>
          <w:rStyle w:val="FootnoteReference"/>
        </w:rPr>
        <w:t xml:space="preserve"> </w:t>
      </w:r>
      <w:r>
        <w:rPr>
          <w:rStyle w:val="FootnoteReference"/>
        </w:rPr>
        <w:footnoteReference w:id="6"/>
      </w:r>
    </w:p>
    <w:p w:rsidR="004103A3" w:rsidRDefault="004103A3" w:rsidP="008C5764">
      <w:pPr>
        <w:jc w:val="both"/>
      </w:pPr>
    </w:p>
    <w:p w:rsidR="001C0A4B" w:rsidRDefault="001C0A4B" w:rsidP="008C5764">
      <w:pPr>
        <w:jc w:val="both"/>
      </w:pPr>
    </w:p>
    <w:p w:rsidR="001C0A4B" w:rsidRDefault="001C0A4B" w:rsidP="001C0A4B">
      <w:proofErr w:type="spellStart"/>
      <w:r w:rsidRPr="00FE193A">
        <w:rPr>
          <w:b/>
        </w:rPr>
        <w:t>Treynor</w:t>
      </w:r>
      <w:proofErr w:type="spellEnd"/>
      <w:r w:rsidRPr="00FE193A">
        <w:rPr>
          <w:b/>
        </w:rPr>
        <w:t xml:space="preserve"> measure</w:t>
      </w:r>
      <w:r>
        <w:t xml:space="preserve"> - </w:t>
      </w:r>
      <w:r w:rsidRPr="001C0A4B">
        <w:t xml:space="preserve">a risk-adjusted measure of return based on systematic risk. It is similar to the Sharpe ratio, with the difference being that the </w:t>
      </w:r>
      <w:proofErr w:type="spellStart"/>
      <w:r w:rsidRPr="001C0A4B">
        <w:t>Treynor</w:t>
      </w:r>
      <w:proofErr w:type="spellEnd"/>
      <w:r w:rsidRPr="001C0A4B">
        <w:t xml:space="preserve"> ratio uses beta as </w:t>
      </w:r>
      <w:r>
        <w:t>the measurement of volatility.</w:t>
      </w:r>
    </w:p>
    <w:p w:rsidR="001C0A4B" w:rsidRDefault="001C0A4B" w:rsidP="001C0A4B">
      <w:r>
        <w:t xml:space="preserve">  </w:t>
      </w:r>
    </w:p>
    <w:p w:rsidR="001C0A4B" w:rsidRDefault="008000BA" w:rsidP="001C0A4B">
      <w:pPr>
        <w:jc w:val="both"/>
      </w:pPr>
      <w:r w:rsidRPr="0055251C">
        <w:rPr>
          <w:position w:val="-30"/>
        </w:rPr>
        <w:object w:dxaOrig="4140" w:dyaOrig="760">
          <v:shape id="_x0000_i1031" type="#_x0000_t75" style="width:207pt;height:38.25pt" o:ole="">
            <v:imagedata r:id="rId21" o:title=""/>
          </v:shape>
          <o:OLEObject Type="Embed" ProgID="Equation.DSMT4" ShapeID="_x0000_i1031" DrawAspect="Content" ObjectID="_1444052028" r:id="rId22"/>
        </w:object>
      </w:r>
    </w:p>
    <w:p w:rsidR="001C0A4B" w:rsidRDefault="001C0A4B" w:rsidP="008C5764">
      <w:pPr>
        <w:jc w:val="both"/>
      </w:pPr>
    </w:p>
    <w:p w:rsidR="008C5764" w:rsidRDefault="008C5764" w:rsidP="008C5764">
      <w:pPr>
        <w:jc w:val="both"/>
      </w:pPr>
    </w:p>
    <w:p w:rsidR="001C0A4B" w:rsidRDefault="001C0A4B" w:rsidP="008C5764">
      <w:pPr>
        <w:jc w:val="both"/>
      </w:pPr>
      <w:r w:rsidRPr="002E440E">
        <w:rPr>
          <w:b/>
        </w:rPr>
        <w:t>Tracking error</w:t>
      </w:r>
      <w:r>
        <w:t xml:space="preserve"> measures risk by the volatility of excess returns—in other words, how far performance strays from a benchmark. For example, a tracking error of 2% means a stock fund is likely to return between 8% and 12% in years when the S&amp;P 500 Index rises 10%.</w:t>
      </w:r>
    </w:p>
    <w:p w:rsidR="001C0A4B" w:rsidRDefault="001C0A4B" w:rsidP="008C5764">
      <w:pPr>
        <w:jc w:val="both"/>
      </w:pPr>
    </w:p>
    <w:p w:rsidR="00985671" w:rsidRDefault="008000BA" w:rsidP="008C5764">
      <w:pPr>
        <w:jc w:val="both"/>
      </w:pPr>
      <w:r w:rsidRPr="004A7299">
        <w:rPr>
          <w:position w:val="-18"/>
        </w:rPr>
        <w:object w:dxaOrig="7580" w:dyaOrig="520">
          <v:shape id="_x0000_i1032" type="#_x0000_t75" style="width:379.5pt;height:26.25pt" o:ole="">
            <v:imagedata r:id="rId23" o:title=""/>
          </v:shape>
          <o:OLEObject Type="Embed" ProgID="Equation.DSMT4" ShapeID="_x0000_i1032" DrawAspect="Content" ObjectID="_1444052029" r:id="rId24"/>
        </w:object>
      </w:r>
      <w:r w:rsidR="00985671">
        <w:t xml:space="preserve"> </w:t>
      </w:r>
    </w:p>
    <w:p w:rsidR="00985671" w:rsidRDefault="00985671" w:rsidP="008C5764">
      <w:pPr>
        <w:jc w:val="both"/>
      </w:pPr>
      <w:proofErr w:type="gramStart"/>
      <w:r>
        <w:t>where</w:t>
      </w:r>
      <w:proofErr w:type="gramEnd"/>
      <w:r>
        <w:t xml:space="preserve">, </w:t>
      </w:r>
      <w:r w:rsidRPr="004A7299">
        <w:rPr>
          <w:position w:val="-14"/>
        </w:rPr>
        <w:object w:dxaOrig="620" w:dyaOrig="380">
          <v:shape id="_x0000_i1033" type="#_x0000_t75" style="width:30.75pt;height:18.75pt" o:ole="">
            <v:imagedata r:id="rId25" o:title=""/>
          </v:shape>
          <o:OLEObject Type="Embed" ProgID="Equation.DSMT4" ShapeID="_x0000_i1033" DrawAspect="Content" ObjectID="_1444052030" r:id="rId26"/>
        </w:object>
      </w:r>
      <w:r>
        <w:rPr>
          <w:rStyle w:val="apple-style-span"/>
          <w:color w:val="222222"/>
        </w:rPr>
        <w:t>is</w:t>
      </w:r>
      <w:r w:rsidRPr="00C907E9">
        <w:rPr>
          <w:rStyle w:val="apple-style-span"/>
          <w:color w:val="222222"/>
        </w:rPr>
        <w:t xml:space="preserve"> difference between the portfolio return and the benchmark return.</w:t>
      </w:r>
    </w:p>
    <w:p w:rsidR="00985671" w:rsidRDefault="00985671" w:rsidP="008C5764">
      <w:pPr>
        <w:jc w:val="both"/>
      </w:pPr>
    </w:p>
    <w:p w:rsidR="004A3865" w:rsidRDefault="004A3865" w:rsidP="004A3865">
      <w:pPr>
        <w:jc w:val="both"/>
      </w:pPr>
      <w:r w:rsidRPr="001C0A4B">
        <w:rPr>
          <w:b/>
        </w:rPr>
        <w:t>Information ratio</w:t>
      </w:r>
      <w:r w:rsidR="001C0A4B">
        <w:t xml:space="preserve"> – </w:t>
      </w:r>
      <w:r w:rsidR="008000BA">
        <w:t xml:space="preserve">measures </w:t>
      </w:r>
      <w:r w:rsidR="001C0A4B">
        <w:t xml:space="preserve">the ratio of alpha to the standard deviation of diversifiable risk. </w:t>
      </w:r>
      <w:r>
        <w:t>Many experts view information ratio as the best way to evaluate</w:t>
      </w:r>
      <w:r w:rsidR="001C0A4B">
        <w:t xml:space="preserve"> </w:t>
      </w:r>
      <w:r>
        <w:t>risk-adjusted performance. Like Sharpe ratio, it measures</w:t>
      </w:r>
      <w:r w:rsidR="001C0A4B">
        <w:t xml:space="preserve"> </w:t>
      </w:r>
      <w:r>
        <w:t>return per unit of risk. The difference is that information ratio</w:t>
      </w:r>
      <w:r w:rsidR="001C0A4B">
        <w:t xml:space="preserve"> </w:t>
      </w:r>
      <w:r>
        <w:t>is based on excess returns and risks versus a benchmark.</w:t>
      </w:r>
    </w:p>
    <w:p w:rsidR="001C0A4B" w:rsidRDefault="001C0A4B" w:rsidP="004A3865">
      <w:pPr>
        <w:jc w:val="both"/>
      </w:pPr>
    </w:p>
    <w:p w:rsidR="00F44A62" w:rsidRDefault="00D41ABD" w:rsidP="004A3865">
      <w:pPr>
        <w:jc w:val="both"/>
      </w:pPr>
      <w:r>
        <w:rPr>
          <w:noProof/>
        </w:rPr>
        <w:pict>
          <v:shape id="_x0000_s1036" type="#_x0000_t75" style="position:absolute;left:0;text-align:left;margin-left:0;margin-top:0;width:339.75pt;height:39pt;z-index:251659264;mso-position-horizontal:left;mso-position-horizontal-relative:text;mso-position-vertical-relative:text">
            <v:imagedata r:id="rId27" o:title=""/>
            <w10:wrap type="square" side="right"/>
          </v:shape>
          <o:OLEObject Type="Embed" ProgID="Equation.DSMT4" ShapeID="_x0000_s1036" DrawAspect="Content" ObjectID="_1444052031" r:id="rId28"/>
        </w:pict>
      </w:r>
      <w:r w:rsidR="008000BA">
        <w:br w:type="textWrapping" w:clear="all"/>
      </w:r>
    </w:p>
    <w:p w:rsidR="008C5764" w:rsidRDefault="008000BA" w:rsidP="004A3865">
      <w:pPr>
        <w:jc w:val="both"/>
      </w:pPr>
      <w:r>
        <w:t>The i</w:t>
      </w:r>
      <w:r w:rsidR="004A3865">
        <w:t>nformation ratio reflects efficiency</w:t>
      </w:r>
      <w:r w:rsidR="001C0A4B">
        <w:t xml:space="preserve"> and consistency. How efficient </w:t>
      </w:r>
      <w:r w:rsidR="004A3865">
        <w:t>is the manager at assuming risk to achieve excess returns?</w:t>
      </w:r>
      <w:r w:rsidR="001C0A4B">
        <w:t xml:space="preserve"> </w:t>
      </w:r>
      <w:r w:rsidR="004A3865">
        <w:t>And how consistent have those returns been? The most skilled</w:t>
      </w:r>
      <w:r w:rsidR="001C0A4B">
        <w:t xml:space="preserve"> </w:t>
      </w:r>
      <w:r w:rsidR="004A3865">
        <w:t>managers tend to have the highest information ratios. A lower</w:t>
      </w:r>
      <w:r w:rsidR="001C0A4B">
        <w:t xml:space="preserve"> </w:t>
      </w:r>
      <w:r w:rsidR="004A3865">
        <w:t>number often identifies managers who took on large amounts</w:t>
      </w:r>
      <w:r w:rsidR="001C0A4B">
        <w:t xml:space="preserve"> </w:t>
      </w:r>
      <w:r w:rsidR="004A3865">
        <w:t>of risk for relatively small rewards. A negative number means</w:t>
      </w:r>
      <w:r w:rsidR="001C0A4B">
        <w:t xml:space="preserve"> </w:t>
      </w:r>
      <w:r w:rsidR="004A3865">
        <w:t>the investment underperformed its benchmark.</w:t>
      </w:r>
    </w:p>
    <w:p w:rsidR="004A3865" w:rsidRDefault="004A3865" w:rsidP="004A3865">
      <w:pPr>
        <w:jc w:val="both"/>
      </w:pPr>
    </w:p>
    <w:p w:rsidR="004A3865" w:rsidRPr="001C0A4B" w:rsidRDefault="004A3865" w:rsidP="004A3865">
      <w:pPr>
        <w:jc w:val="both"/>
        <w:rPr>
          <w:b/>
        </w:rPr>
      </w:pPr>
      <w:r w:rsidRPr="001C0A4B">
        <w:rPr>
          <w:b/>
        </w:rPr>
        <w:t>Example</w:t>
      </w:r>
      <w:r w:rsidR="001C0A4B">
        <w:rPr>
          <w:b/>
        </w:rPr>
        <w:t>:</w:t>
      </w:r>
      <w:r w:rsidRPr="001C0A4B">
        <w:rPr>
          <w:b/>
        </w:rPr>
        <w:t xml:space="preserve"> </w:t>
      </w:r>
      <w:r w:rsidR="001C0A4B" w:rsidRPr="001C0A4B">
        <w:rPr>
          <w:b/>
        </w:rPr>
        <w:t>Information</w:t>
      </w:r>
      <w:r w:rsidRPr="001C0A4B">
        <w:rPr>
          <w:b/>
        </w:rPr>
        <w:t xml:space="preserve"> Ratio</w:t>
      </w:r>
      <w:r w:rsidR="001C0A4B">
        <w:rPr>
          <w:b/>
        </w:rPr>
        <w:t>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1800"/>
        <w:gridCol w:w="1800"/>
      </w:tblGrid>
      <w:tr w:rsidR="004A3865" w:rsidTr="008440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A3865" w:rsidRDefault="004A3865" w:rsidP="00844077">
            <w:pPr>
              <w:jc w:val="center"/>
            </w:pPr>
            <w:r>
              <w:t>0.5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A3865" w:rsidRDefault="004A3865" w:rsidP="00844077">
            <w:pPr>
              <w:jc w:val="center"/>
            </w:pPr>
            <w:r>
              <w:t>0.75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A3865" w:rsidRDefault="004A3865" w:rsidP="00844077">
            <w:pPr>
              <w:jc w:val="center"/>
            </w:pPr>
            <w:r>
              <w:t xml:space="preserve">1 </w:t>
            </w:r>
            <w:r w:rsidRPr="004A3865">
              <w:rPr>
                <w:i/>
              </w:rPr>
              <w:t>or higher</w:t>
            </w:r>
          </w:p>
        </w:tc>
      </w:tr>
      <w:tr w:rsidR="004A3865" w:rsidTr="008440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4A3865" w:rsidRDefault="004A3865" w:rsidP="00844077">
            <w:pPr>
              <w:jc w:val="center"/>
            </w:pPr>
            <w:r>
              <w:t>Good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4A3865" w:rsidRDefault="004A3865" w:rsidP="00844077">
            <w:pPr>
              <w:jc w:val="center"/>
            </w:pPr>
            <w:r>
              <w:t>Very good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4A3865" w:rsidRDefault="004A3865" w:rsidP="00844077">
            <w:pPr>
              <w:jc w:val="center"/>
            </w:pPr>
            <w:r>
              <w:t>Excellent</w:t>
            </w:r>
          </w:p>
        </w:tc>
      </w:tr>
    </w:tbl>
    <w:p w:rsidR="004A3865" w:rsidRDefault="004A3865" w:rsidP="004A3865">
      <w:pPr>
        <w:jc w:val="both"/>
      </w:pPr>
      <w:r>
        <w:t>Source: JP Morgan “Spotlight on Risk Assessment” (July 2013)</w:t>
      </w:r>
      <w:r w:rsidRPr="004A3865">
        <w:rPr>
          <w:rStyle w:val="FootnoteReference"/>
        </w:rPr>
        <w:t xml:space="preserve"> </w:t>
      </w:r>
      <w:r>
        <w:rPr>
          <w:rStyle w:val="FootnoteReference"/>
        </w:rPr>
        <w:footnoteReference w:id="7"/>
      </w:r>
    </w:p>
    <w:p w:rsidR="004A3865" w:rsidRDefault="004A3865" w:rsidP="004A3865">
      <w:pPr>
        <w:jc w:val="both"/>
      </w:pPr>
    </w:p>
    <w:p w:rsidR="008000BA" w:rsidRDefault="00D933C3" w:rsidP="004A3865">
      <w:pPr>
        <w:jc w:val="both"/>
      </w:pPr>
      <w:r>
        <w:t>The appropriate performance measure depends on the investment context:</w:t>
      </w:r>
      <w:r w:rsidR="00F209A5" w:rsidRPr="00F209A5">
        <w:rPr>
          <w:rStyle w:val="FootnoteReference"/>
        </w:rPr>
        <w:t xml:space="preserve"> </w:t>
      </w:r>
      <w:r w:rsidR="00F209A5">
        <w:rPr>
          <w:rStyle w:val="FootnoteReference"/>
        </w:rPr>
        <w:footnoteReference w:id="8"/>
      </w:r>
    </w:p>
    <w:p w:rsidR="00D933C3" w:rsidRDefault="00D933C3" w:rsidP="00D933C3">
      <w:pPr>
        <w:pStyle w:val="ListParagraph"/>
        <w:numPr>
          <w:ilvl w:val="0"/>
          <w:numId w:val="1"/>
        </w:numPr>
        <w:jc w:val="both"/>
      </w:pPr>
      <w:r>
        <w:t>Sharpe ratio is most appropriate when the portfolio represents the entire investment fund.</w:t>
      </w:r>
    </w:p>
    <w:p w:rsidR="00D933C3" w:rsidRDefault="00D933C3" w:rsidP="00D933C3">
      <w:pPr>
        <w:pStyle w:val="ListParagraph"/>
        <w:numPr>
          <w:ilvl w:val="0"/>
          <w:numId w:val="1"/>
        </w:numPr>
        <w:jc w:val="both"/>
      </w:pPr>
      <w:proofErr w:type="spellStart"/>
      <w:r>
        <w:t>Treynor</w:t>
      </w:r>
      <w:proofErr w:type="spellEnd"/>
      <w:r>
        <w:t xml:space="preserve"> measure is appropriate when the portfolio is to be mixed with several other assets.</w:t>
      </w:r>
    </w:p>
    <w:p w:rsidR="00D933C3" w:rsidRDefault="00D933C3" w:rsidP="00D933C3">
      <w:pPr>
        <w:pStyle w:val="ListParagraph"/>
        <w:numPr>
          <w:ilvl w:val="0"/>
          <w:numId w:val="1"/>
        </w:numPr>
        <w:jc w:val="both"/>
      </w:pPr>
      <w:r>
        <w:t>Information ratio is appropriate when evaluating a portfolio to be mixed with the passive index portfolio.</w:t>
      </w:r>
    </w:p>
    <w:p w:rsidR="00F209A5" w:rsidRDefault="00F209A5" w:rsidP="00F209A5">
      <w:pPr>
        <w:jc w:val="both"/>
      </w:pPr>
    </w:p>
    <w:p w:rsidR="00D933C3" w:rsidRDefault="00F209A5" w:rsidP="00F209A5">
      <w:pPr>
        <w:jc w:val="center"/>
      </w:pPr>
      <w:r w:rsidRPr="00F209A5">
        <w:rPr>
          <w:i/>
        </w:rPr>
        <w:t>“Investing is a balancing act between risk and return. The goal isn’t to avoid risk, but to choose managers who adequately reward you for risk-taking.”</w:t>
      </w:r>
      <w:r w:rsidRPr="00F209A5">
        <w:rPr>
          <w:rStyle w:val="FootnoteReference"/>
        </w:rPr>
        <w:t xml:space="preserve"> </w:t>
      </w:r>
      <w:r>
        <w:rPr>
          <w:rStyle w:val="FootnoteReference"/>
        </w:rPr>
        <w:footnoteReference w:id="9"/>
      </w:r>
    </w:p>
    <w:p w:rsidR="00F209A5" w:rsidRDefault="00F209A5" w:rsidP="00F209A5"/>
    <w:p w:rsidR="00F209A5" w:rsidRPr="00F209A5" w:rsidRDefault="00F209A5" w:rsidP="00F209A5">
      <w:pPr>
        <w:rPr>
          <w:b/>
          <w:i/>
        </w:rPr>
      </w:pPr>
      <w:r>
        <w:rPr>
          <w:b/>
        </w:rPr>
        <w:t>Exhibit</w:t>
      </w:r>
      <w:r w:rsidRPr="00F209A5">
        <w:rPr>
          <w:b/>
        </w:rPr>
        <w:t xml:space="preserve"> 1: Comparing Investment Alternatives </w:t>
      </w:r>
    </w:p>
    <w:p w:rsidR="00F209A5" w:rsidRPr="00F209A5" w:rsidRDefault="00F209A5" w:rsidP="00F209A5">
      <w:pPr>
        <w:rPr>
          <w:i/>
        </w:rPr>
      </w:pPr>
      <w:r>
        <w:rPr>
          <w:noProof/>
        </w:rPr>
        <w:drawing>
          <wp:inline distT="0" distB="0" distL="0" distR="0">
            <wp:extent cx="4305300" cy="2390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19" t="39970" r="7211" b="17304"/>
                    <a:stretch/>
                  </pic:blipFill>
                  <pic:spPr bwMode="auto">
                    <a:xfrm>
                      <a:off x="0" y="0"/>
                      <a:ext cx="4305300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00BA" w:rsidRPr="00F209A5" w:rsidRDefault="00F209A5" w:rsidP="00F209A5">
      <w:pPr>
        <w:jc w:val="both"/>
      </w:pPr>
      <w:r>
        <w:t>Source: JP Morgan “Spotlight on Risk Assessment” (July 2013)</w:t>
      </w:r>
      <w:r w:rsidRPr="004A3865">
        <w:rPr>
          <w:rStyle w:val="FootnoteReference"/>
        </w:rPr>
        <w:t xml:space="preserve"> </w:t>
      </w:r>
      <w:r>
        <w:rPr>
          <w:rStyle w:val="FootnoteReference"/>
        </w:rPr>
        <w:footnoteReference w:id="10"/>
      </w:r>
    </w:p>
    <w:sectPr w:rsidR="008000BA" w:rsidRPr="00F209A5" w:rsidSect="00420337">
      <w:footerReference w:type="default" r:id="rId3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ABD" w:rsidRDefault="00D41ABD" w:rsidP="00001387">
      <w:r>
        <w:separator/>
      </w:r>
    </w:p>
  </w:endnote>
  <w:endnote w:type="continuationSeparator" w:id="0">
    <w:p w:rsidR="00D41ABD" w:rsidRDefault="00D41ABD" w:rsidP="0000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8407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71D3" w:rsidRDefault="00436F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0C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71D3" w:rsidRDefault="00D41A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ABD" w:rsidRDefault="00D41ABD" w:rsidP="00001387">
      <w:r>
        <w:separator/>
      </w:r>
    </w:p>
  </w:footnote>
  <w:footnote w:type="continuationSeparator" w:id="0">
    <w:p w:rsidR="00D41ABD" w:rsidRDefault="00D41ABD" w:rsidP="00001387">
      <w:r>
        <w:continuationSeparator/>
      </w:r>
    </w:p>
  </w:footnote>
  <w:footnote w:id="1">
    <w:p w:rsidR="00D47E43" w:rsidRDefault="00D47E43" w:rsidP="00D47E4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440E">
        <w:t>https://www.jpmorganfunds.com/blobcontent/518/497/1279234170856_II-IR-KNOW.pdf</w:t>
      </w:r>
    </w:p>
  </w:footnote>
  <w:footnote w:id="2">
    <w:p w:rsidR="00494D83" w:rsidRDefault="00494D8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94D83">
        <w:t>http://people.duke.edu/~charvey/Classes/ba350_1997/diverse/diverse.htm</w:t>
      </w:r>
    </w:p>
  </w:footnote>
  <w:footnote w:id="3">
    <w:p w:rsidR="001C0A4B" w:rsidRDefault="001C0A4B" w:rsidP="001C0A4B">
      <w:pPr>
        <w:pStyle w:val="FootnoteText"/>
      </w:pPr>
      <w:r>
        <w:rPr>
          <w:rStyle w:val="FootnoteReference"/>
        </w:rPr>
        <w:footnoteRef/>
      </w:r>
      <w:r>
        <w:t xml:space="preserve"> The peer group is selected based on the fund’s investment universe (e.g. international, growth, fixed income, etc.) as well as portfolio characteristics such as average P/E ratio and market capitalization. </w:t>
      </w:r>
    </w:p>
  </w:footnote>
  <w:footnote w:id="4">
    <w:p w:rsidR="001C0A4B" w:rsidRDefault="001C0A4B" w:rsidP="001C0A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0" w:name="_GoBack"/>
      <w:r>
        <w:t xml:space="preserve">See </w:t>
      </w:r>
      <w:r w:rsidRPr="008C5764">
        <w:rPr>
          <w:u w:val="single"/>
        </w:rPr>
        <w:t>Essentials of Investments</w:t>
      </w:r>
      <w:r w:rsidRPr="008C5764">
        <w:t xml:space="preserve">, 9th edition by </w:t>
      </w:r>
      <w:proofErr w:type="spellStart"/>
      <w:r w:rsidRPr="008C5764">
        <w:t>Zvi</w:t>
      </w:r>
      <w:proofErr w:type="spellEnd"/>
      <w:r w:rsidRPr="008C5764">
        <w:t xml:space="preserve"> </w:t>
      </w:r>
      <w:proofErr w:type="spellStart"/>
      <w:r w:rsidRPr="008C5764">
        <w:t>Bodie</w:t>
      </w:r>
      <w:proofErr w:type="spellEnd"/>
      <w:r w:rsidRPr="008C5764">
        <w:t xml:space="preserve">, Alex Kane, and Alan J. Marcus, Chapter </w:t>
      </w:r>
      <w:r>
        <w:t>1</w:t>
      </w:r>
      <w:r w:rsidRPr="008C5764">
        <w:t xml:space="preserve">8 p. </w:t>
      </w:r>
      <w:r>
        <w:t>609-610 for additional detail</w:t>
      </w:r>
      <w:r w:rsidRPr="008C5764">
        <w:t>.</w:t>
      </w:r>
      <w:bookmarkEnd w:id="0"/>
    </w:p>
  </w:footnote>
  <w:footnote w:id="5">
    <w:p w:rsidR="004A3865" w:rsidRDefault="004A38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3865">
        <w:t>http://www.investopedia.com/terms/s/sharperatio.asp</w:t>
      </w:r>
    </w:p>
  </w:footnote>
  <w:footnote w:id="6">
    <w:p w:rsidR="004A3865" w:rsidRDefault="004A3865" w:rsidP="004A38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3865">
        <w:t>https://www.jpmorganfunds.com/blobcontent/518/497/1279234170856_II-IR-KNOW.pdf</w:t>
      </w:r>
    </w:p>
  </w:footnote>
  <w:footnote w:id="7">
    <w:p w:rsidR="004A3865" w:rsidRDefault="004A3865" w:rsidP="004A38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3865">
        <w:t>https://www.jpmorganfunds.com/blobcontent/518/497/1279234170856_II-IR-KNOW.pdf</w:t>
      </w:r>
    </w:p>
  </w:footnote>
  <w:footnote w:id="8">
    <w:p w:rsidR="00F209A5" w:rsidRDefault="00F209A5" w:rsidP="00F209A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C5764">
        <w:rPr>
          <w:u w:val="single"/>
        </w:rPr>
        <w:t>Essentials of Investments</w:t>
      </w:r>
      <w:r w:rsidRPr="008C5764">
        <w:t xml:space="preserve">, 9th edition by </w:t>
      </w:r>
      <w:proofErr w:type="spellStart"/>
      <w:r w:rsidRPr="008C5764">
        <w:t>Zvi</w:t>
      </w:r>
      <w:proofErr w:type="spellEnd"/>
      <w:r w:rsidRPr="008C5764">
        <w:t xml:space="preserve"> </w:t>
      </w:r>
      <w:proofErr w:type="spellStart"/>
      <w:r w:rsidRPr="008C5764">
        <w:t>Bodie</w:t>
      </w:r>
      <w:proofErr w:type="spellEnd"/>
      <w:r w:rsidRPr="008C5764">
        <w:t xml:space="preserve">, Alex Kane, and Alan J. Marcus, Chapter </w:t>
      </w:r>
      <w:r>
        <w:t>1</w:t>
      </w:r>
      <w:r w:rsidRPr="008C5764">
        <w:t xml:space="preserve">8 p. </w:t>
      </w:r>
      <w:r>
        <w:t>621</w:t>
      </w:r>
      <w:r w:rsidRPr="008C5764">
        <w:t>.</w:t>
      </w:r>
    </w:p>
  </w:footnote>
  <w:footnote w:id="9">
    <w:p w:rsidR="00F209A5" w:rsidRDefault="00F209A5" w:rsidP="00F209A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3865">
        <w:t>https://www.jpmorganfunds.com/blobcontent/518/497/1279234170856_II-IR-KNOW.pdf</w:t>
      </w:r>
    </w:p>
  </w:footnote>
  <w:footnote w:id="10">
    <w:p w:rsidR="00F209A5" w:rsidRDefault="00F209A5" w:rsidP="00F209A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3865">
        <w:t>https://www.jpmorganfunds.com/blobcontent/518/497/1279234170856_II-IR-KNOW.pdf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A5184"/>
    <w:multiLevelType w:val="hybridMultilevel"/>
    <w:tmpl w:val="AE5ED2FE"/>
    <w:lvl w:ilvl="0" w:tplc="84FE95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387"/>
    <w:rsid w:val="00001387"/>
    <w:rsid w:val="000512E2"/>
    <w:rsid w:val="00091CB8"/>
    <w:rsid w:val="000B0E0B"/>
    <w:rsid w:val="000F6401"/>
    <w:rsid w:val="001141E9"/>
    <w:rsid w:val="001805D2"/>
    <w:rsid w:val="001C0A4B"/>
    <w:rsid w:val="001C612F"/>
    <w:rsid w:val="002517EF"/>
    <w:rsid w:val="00267DFB"/>
    <w:rsid w:val="0028132D"/>
    <w:rsid w:val="00302894"/>
    <w:rsid w:val="003626D7"/>
    <w:rsid w:val="004103A3"/>
    <w:rsid w:val="00436F72"/>
    <w:rsid w:val="00454098"/>
    <w:rsid w:val="00494D83"/>
    <w:rsid w:val="004A3865"/>
    <w:rsid w:val="006023B1"/>
    <w:rsid w:val="00637402"/>
    <w:rsid w:val="00655331"/>
    <w:rsid w:val="00661E92"/>
    <w:rsid w:val="006F404B"/>
    <w:rsid w:val="008000BA"/>
    <w:rsid w:val="00801A90"/>
    <w:rsid w:val="008C5764"/>
    <w:rsid w:val="008D52F9"/>
    <w:rsid w:val="00915F14"/>
    <w:rsid w:val="00942DD8"/>
    <w:rsid w:val="00985671"/>
    <w:rsid w:val="00A93681"/>
    <w:rsid w:val="00B766D6"/>
    <w:rsid w:val="00C10C1E"/>
    <w:rsid w:val="00CA32FD"/>
    <w:rsid w:val="00CE4A49"/>
    <w:rsid w:val="00D01C50"/>
    <w:rsid w:val="00D105B6"/>
    <w:rsid w:val="00D41ABD"/>
    <w:rsid w:val="00D47E43"/>
    <w:rsid w:val="00D933C3"/>
    <w:rsid w:val="00E40C7A"/>
    <w:rsid w:val="00F14470"/>
    <w:rsid w:val="00F209A5"/>
    <w:rsid w:val="00F23C74"/>
    <w:rsid w:val="00F4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3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0138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13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1387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0013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387"/>
  </w:style>
  <w:style w:type="paragraph" w:styleId="BalloonText">
    <w:name w:val="Balloon Text"/>
    <w:basedOn w:val="Normal"/>
    <w:link w:val="BalloonTextChar"/>
    <w:uiPriority w:val="99"/>
    <w:semiHidden/>
    <w:unhideWhenUsed/>
    <w:rsid w:val="00D47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E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38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985671"/>
  </w:style>
  <w:style w:type="paragraph" w:styleId="ListParagraph">
    <w:name w:val="List Paragraph"/>
    <w:basedOn w:val="Normal"/>
    <w:uiPriority w:val="34"/>
    <w:qFormat/>
    <w:rsid w:val="00D933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3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0138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13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1387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0013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387"/>
  </w:style>
  <w:style w:type="paragraph" w:styleId="BalloonText">
    <w:name w:val="Balloon Text"/>
    <w:basedOn w:val="Normal"/>
    <w:link w:val="BalloonTextChar"/>
    <w:uiPriority w:val="99"/>
    <w:semiHidden/>
    <w:unhideWhenUsed/>
    <w:rsid w:val="00D47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E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38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985671"/>
  </w:style>
  <w:style w:type="paragraph" w:styleId="ListParagraph">
    <w:name w:val="List Paragraph"/>
    <w:basedOn w:val="Normal"/>
    <w:uiPriority w:val="34"/>
    <w:qFormat/>
    <w:rsid w:val="00D93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517BA-D5CA-434B-AE52-2FC1EEEDD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1463</TotalTime>
  <Pages>3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Babson College</Company>
  <LinksUpToDate>false</LinksUpToDate>
  <CharactersWithSpaces>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cp:lastPrinted>2013-10-22T18:39:00Z</cp:lastPrinted>
  <dcterms:created xsi:type="dcterms:W3CDTF">2013-10-14T20:41:00Z</dcterms:created>
  <dcterms:modified xsi:type="dcterms:W3CDTF">2013-10-23T20:43:00Z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