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70" w:rsidRPr="002D00EB" w:rsidRDefault="002D00EB" w:rsidP="002D00EB">
      <w:pPr>
        <w:jc w:val="center"/>
        <w:rPr>
          <w:b/>
          <w:caps/>
        </w:rPr>
      </w:pPr>
      <w:r w:rsidRPr="002D00EB">
        <w:rPr>
          <w:b/>
          <w:caps/>
        </w:rPr>
        <w:t>Buying Bonds</w:t>
      </w:r>
    </w:p>
    <w:p w:rsidR="002D00EB" w:rsidRDefault="002D00EB"/>
    <w:p w:rsidR="00110488" w:rsidRDefault="002D00EB" w:rsidP="0037139B">
      <w:pPr>
        <w:jc w:val="both"/>
      </w:pPr>
      <w:r>
        <w:t xml:space="preserve">Investors interested in buying fixed income securities can purchase </w:t>
      </w:r>
      <w:r w:rsidR="00CF7C40">
        <w:t>government bonds</w:t>
      </w:r>
      <w:r w:rsidR="00861C78">
        <w:t xml:space="preserve">, </w:t>
      </w:r>
      <w:r w:rsidR="00CF7C40" w:rsidRPr="00CF7C40">
        <w:t xml:space="preserve">corporate bonds, municipal bonds, </w:t>
      </w:r>
      <w:r w:rsidR="00110488">
        <w:t>asset-backed securities</w:t>
      </w:r>
      <w:r w:rsidR="00CF7C40">
        <w:t xml:space="preserve">, or </w:t>
      </w:r>
      <w:r w:rsidR="00CF7C40" w:rsidRPr="00CF7C40">
        <w:t>money market securities</w:t>
      </w:r>
      <w:r w:rsidR="00110488">
        <w:t>.  In addition, investors can purchas</w:t>
      </w:r>
      <w:r w:rsidR="00B12081">
        <w:t>e fixed income mutual funds,</w:t>
      </w:r>
      <w:r w:rsidR="006279AC">
        <w:rPr>
          <w:rStyle w:val="FootnoteReference"/>
        </w:rPr>
        <w:footnoteReference w:id="1"/>
      </w:r>
      <w:r w:rsidR="00B12081">
        <w:t xml:space="preserve"> </w:t>
      </w:r>
      <w:r w:rsidR="006279AC">
        <w:t>closed end funds (CEFs),</w:t>
      </w:r>
      <w:r w:rsidR="00210EBC">
        <w:rPr>
          <w:rStyle w:val="FootnoteReference"/>
        </w:rPr>
        <w:footnoteReference w:id="2"/>
      </w:r>
      <w:r w:rsidR="00210EBC">
        <w:t xml:space="preserve"> unit investment trusts (UITs),</w:t>
      </w:r>
      <w:r w:rsidR="00210EBC">
        <w:rPr>
          <w:rStyle w:val="FootnoteReference"/>
        </w:rPr>
        <w:footnoteReference w:id="3"/>
      </w:r>
      <w:r w:rsidR="00210EBC">
        <w:t xml:space="preserve"> and </w:t>
      </w:r>
      <w:r w:rsidR="00B12081">
        <w:t>exchange traded funds (</w:t>
      </w:r>
      <w:r w:rsidR="00110488">
        <w:t>ETFs</w:t>
      </w:r>
      <w:r w:rsidR="00B12081">
        <w:t>)</w:t>
      </w:r>
      <w:r w:rsidR="00110488">
        <w:t>.</w:t>
      </w:r>
      <w:r w:rsidR="00210EBC">
        <w:rPr>
          <w:rStyle w:val="FootnoteReference"/>
        </w:rPr>
        <w:footnoteReference w:id="4"/>
      </w:r>
    </w:p>
    <w:p w:rsidR="00110488" w:rsidRDefault="00110488" w:rsidP="0037139B">
      <w:pPr>
        <w:jc w:val="both"/>
      </w:pPr>
    </w:p>
    <w:p w:rsidR="00110488" w:rsidRDefault="0037139B" w:rsidP="0037139B">
      <w:pPr>
        <w:jc w:val="both"/>
      </w:pPr>
      <w:r>
        <w:t>Fixed income m</w:t>
      </w:r>
      <w:r w:rsidR="00110488">
        <w:t>utual funds come in all sha</w:t>
      </w:r>
      <w:r>
        <w:t xml:space="preserve">pes and sizes, the following </w:t>
      </w:r>
      <w:r w:rsidR="00110488">
        <w:t xml:space="preserve">categories are </w:t>
      </w:r>
      <w:r w:rsidR="00861C78">
        <w:t xml:space="preserve">a sample of what is </w:t>
      </w:r>
      <w:r w:rsidR="00110488">
        <w:t>available: Long-Term Bond, Large Growth, Mid-Cap Growth, Short-Term Bond, Large Value, Mid-Cap Value, Small Growth, Small Value, World Bond, High Yield Bond</w:t>
      </w:r>
      <w:r w:rsidR="00861C78">
        <w:t>,</w:t>
      </w:r>
      <w:r w:rsidR="00110488">
        <w:t xml:space="preserve"> Financial, and Retirement Income.</w:t>
      </w:r>
      <w:r w:rsidR="00110488">
        <w:rPr>
          <w:rStyle w:val="FootnoteReference"/>
        </w:rPr>
        <w:footnoteReference w:id="5"/>
      </w:r>
    </w:p>
    <w:p w:rsidR="00110488" w:rsidRDefault="00110488" w:rsidP="0037139B">
      <w:pPr>
        <w:jc w:val="both"/>
      </w:pPr>
    </w:p>
    <w:p w:rsidR="0037139B" w:rsidRDefault="0037139B" w:rsidP="0037139B">
      <w:pPr>
        <w:jc w:val="both"/>
      </w:pPr>
      <w:r>
        <w:t>Fixed income exchange traded funds</w:t>
      </w:r>
      <w:r w:rsidR="00210EBC">
        <w:rPr>
          <w:rStyle w:val="FootnoteReference"/>
        </w:rPr>
        <w:footnoteReference w:id="6"/>
      </w:r>
      <w:r>
        <w:t xml:space="preserve"> (ETFs) come in as many varieties</w:t>
      </w:r>
      <w:r w:rsidR="00861C78">
        <w:t>, the following</w:t>
      </w:r>
      <w:r>
        <w:t xml:space="preserve"> categories are available:  Corporate bond, U.S. treasury, municipal bond, inflation protected bond, broad bond, short term bond, intermediate term bond, long term bond, international bond, inverse bond, leveraged bond, convertible bond, mortgage-backed bond, and junk bond.</w:t>
      </w:r>
      <w:r>
        <w:rPr>
          <w:rStyle w:val="FootnoteReference"/>
        </w:rPr>
        <w:footnoteReference w:id="7"/>
      </w:r>
      <w:r>
        <w:t xml:space="preserve">  </w:t>
      </w:r>
      <w:r w:rsidR="00210EBC">
        <w:t xml:space="preserve">Closed end funds and UITs are also widely available.  Morningstar is a fantastic resource for research on </w:t>
      </w:r>
      <w:r w:rsidR="006279AC">
        <w:t>all bond funds.</w:t>
      </w:r>
      <w:r w:rsidR="006279AC">
        <w:rPr>
          <w:rStyle w:val="FootnoteReference"/>
        </w:rPr>
        <w:footnoteReference w:id="8"/>
      </w:r>
      <w:r w:rsidR="006279AC">
        <w:t xml:space="preserve"> </w:t>
      </w:r>
    </w:p>
    <w:p w:rsidR="00110488" w:rsidRDefault="00110488" w:rsidP="0037139B">
      <w:pPr>
        <w:jc w:val="both"/>
      </w:pPr>
    </w:p>
    <w:p w:rsidR="003B02D6" w:rsidRPr="00F8710B" w:rsidRDefault="003B02D6" w:rsidP="0037139B">
      <w:pPr>
        <w:jc w:val="both"/>
        <w:rPr>
          <w:b/>
        </w:rPr>
      </w:pPr>
      <w:r w:rsidRPr="00F8710B">
        <w:rPr>
          <w:b/>
        </w:rPr>
        <w:t>Government Bonds</w:t>
      </w:r>
    </w:p>
    <w:p w:rsidR="003B02D6" w:rsidRDefault="00F8710B" w:rsidP="0037139B">
      <w:pPr>
        <w:jc w:val="both"/>
      </w:pPr>
      <w:r>
        <w:t>Investors</w:t>
      </w:r>
      <w:r w:rsidR="003B02D6" w:rsidRPr="003B02D6">
        <w:t xml:space="preserve"> can </w:t>
      </w:r>
      <w:r>
        <w:t>purchase government bonds</w:t>
      </w:r>
      <w:r w:rsidR="003B02D6" w:rsidRPr="003B02D6">
        <w:t xml:space="preserve"> through a bank or broker for a fee, but </w:t>
      </w:r>
      <w:r>
        <w:t>the</w:t>
      </w:r>
      <w:r w:rsidR="003B02D6" w:rsidRPr="003B02D6">
        <w:t xml:space="preserve"> easiest and cheapest way to participate in this market is to buy </w:t>
      </w:r>
      <w:r w:rsidR="003B02D6">
        <w:t>directly from the Treasury</w:t>
      </w:r>
      <w:r>
        <w:t>. O</w:t>
      </w:r>
      <w:r w:rsidRPr="00F8710B">
        <w:t>n</w:t>
      </w:r>
      <w:r>
        <w:t xml:space="preserve"> the</w:t>
      </w:r>
      <w:r w:rsidRPr="00F8710B">
        <w:t xml:space="preserve"> TreasuryDirect</w:t>
      </w:r>
      <w:r>
        <w:t>.gov website</w:t>
      </w:r>
      <w:r w:rsidRPr="00F8710B">
        <w:t>, you can purchase Treasury bills, notes, bonds and inflation-protected securities (TIPS) as well as savings bonds</w:t>
      </w:r>
      <w:r>
        <w:t>.</w:t>
      </w:r>
      <w:r w:rsidR="004D1A89">
        <w:t xml:space="preserve">  Treasury securities are exempt from state and local taxes (but not federal taxes).</w:t>
      </w:r>
    </w:p>
    <w:p w:rsidR="003B02D6" w:rsidRDefault="003B02D6" w:rsidP="0037139B">
      <w:pPr>
        <w:jc w:val="both"/>
      </w:pPr>
    </w:p>
    <w:p w:rsidR="00861C78" w:rsidRPr="00861C78" w:rsidRDefault="00861C78" w:rsidP="0037139B">
      <w:pPr>
        <w:jc w:val="both"/>
        <w:rPr>
          <w:b/>
        </w:rPr>
      </w:pPr>
      <w:r w:rsidRPr="00861C78">
        <w:rPr>
          <w:b/>
        </w:rPr>
        <w:t>Individual Bonds vs. Mutual Funds</w:t>
      </w:r>
      <w:r>
        <w:rPr>
          <w:b/>
        </w:rPr>
        <w:t xml:space="preserve"> (ETFs or UITs)</w:t>
      </w:r>
    </w:p>
    <w:p w:rsidR="0037139B" w:rsidRDefault="0037139B" w:rsidP="0037139B">
      <w:pPr>
        <w:jc w:val="both"/>
      </w:pPr>
      <w:r>
        <w:t>Unless you have at least $25-50,000 it probably makes sense to purchase a mutual fund or ETF</w:t>
      </w:r>
      <w:r w:rsidR="00C54D6E">
        <w:t xml:space="preserve"> for diversification</w:t>
      </w:r>
      <w:r>
        <w:t xml:space="preserve">. </w:t>
      </w:r>
      <w:r w:rsidR="002D7343">
        <w:t xml:space="preserve"> </w:t>
      </w:r>
      <w:r w:rsidR="00DE4FC5">
        <w:t>A</w:t>
      </w:r>
      <w:r w:rsidR="002D7343">
        <w:t>s of June 2013 there was $9.3 trillion of U.S. corporate debt outstanding.</w:t>
      </w:r>
      <w:r w:rsidR="002D7343">
        <w:rPr>
          <w:rStyle w:val="FootnoteReference"/>
        </w:rPr>
        <w:footnoteReference w:id="9"/>
      </w:r>
      <w:r w:rsidR="00DE4FC5">
        <w:t xml:space="preserve">  W</w:t>
      </w:r>
      <w:r w:rsidR="00DE4FC5" w:rsidRPr="00DE4FC5">
        <w:t xml:space="preserve">hen buying individual </w:t>
      </w:r>
      <w:r w:rsidR="00DE4FC5">
        <w:t xml:space="preserve">corporate </w:t>
      </w:r>
      <w:r w:rsidR="00DE4FC5" w:rsidRPr="00DE4FC5">
        <w:t>bonds, you should buy new issues directly from the underwriter</w:t>
      </w:r>
      <w:r w:rsidR="00DE4FC5">
        <w:t xml:space="preserve"> because you’ll receive the same price as large investors, since the </w:t>
      </w:r>
      <w:r w:rsidR="00DE4FC5" w:rsidRPr="00DE4FC5">
        <w:t xml:space="preserve">issuer </w:t>
      </w:r>
      <w:r w:rsidR="00C54D6E">
        <w:t>eats</w:t>
      </w:r>
      <w:r w:rsidR="00DE4FC5" w:rsidRPr="00DE4FC5">
        <w:t xml:space="preserve"> the </w:t>
      </w:r>
      <w:r w:rsidR="00DE4FC5" w:rsidRPr="00DE4FC5">
        <w:lastRenderedPageBreak/>
        <w:t>sales commission</w:t>
      </w:r>
      <w:r w:rsidR="00DE4FC5">
        <w:t>.  But the bond market is generally less liquid than the mutual fund market and older bonds trade in the OTC market with less price transparency.</w:t>
      </w:r>
      <w:r w:rsidR="00C54D6E">
        <w:t xml:space="preserve">  One benefit of individual bonds over a mutual fund is that your payments and maturity are known and unless there is a bankruptcy you’ll receive all payments promised, while the price of a mutual fund changes daily.</w:t>
      </w:r>
      <w:r w:rsidR="00861C78">
        <w:t xml:space="preserve">  A unique feature of</w:t>
      </w:r>
      <w:r w:rsidR="006931E3">
        <w:t xml:space="preserve"> UITs is that portfolios generally remain invested in the same set of securities throughout the term of the trust, which offers fixed income investors predetermined maturities and income potential.</w:t>
      </w:r>
      <w:r w:rsidR="006931E3">
        <w:rPr>
          <w:rStyle w:val="FootnoteReference"/>
        </w:rPr>
        <w:footnoteReference w:id="10"/>
      </w:r>
      <w:r w:rsidR="006931E3">
        <w:t xml:space="preserve">  </w:t>
      </w:r>
      <w:r w:rsidR="00FD6AE2">
        <w:t>For a</w:t>
      </w:r>
      <w:r w:rsidR="006931E3">
        <w:t xml:space="preserve"> comparison of </w:t>
      </w:r>
      <w:r w:rsidR="00FD6AE2">
        <w:t xml:space="preserve">UITs, </w:t>
      </w:r>
      <w:r w:rsidR="006931E3">
        <w:t xml:space="preserve">ETFs, </w:t>
      </w:r>
      <w:r w:rsidR="00FD6AE2">
        <w:t xml:space="preserve">and </w:t>
      </w:r>
      <w:r w:rsidR="006931E3">
        <w:t>Mutual Fun</w:t>
      </w:r>
      <w:r w:rsidR="00FD6AE2">
        <w:t>ds, see the Mutual Funds and Other Investment Companies note posted on my website: www.wendyjeffus.com</w:t>
      </w:r>
      <w:r w:rsidR="006931E3">
        <w:t>.</w:t>
      </w:r>
      <w:r w:rsidR="00DE4FC5">
        <w:t xml:space="preserve"> </w:t>
      </w:r>
      <w:r w:rsidRPr="0037139B">
        <w:rPr>
          <w:i/>
        </w:rPr>
        <w:t>Note</w:t>
      </w:r>
      <w:r>
        <w:t xml:space="preserve">: When buying mutual funds </w:t>
      </w:r>
      <w:r w:rsidR="00861C78">
        <w:t xml:space="preserve">(ETFs or UITs) </w:t>
      </w:r>
      <w:r>
        <w:t>pay attention to the expense ratio</w:t>
      </w:r>
      <w:r w:rsidR="00F8710B">
        <w:rPr>
          <w:rStyle w:val="FootnoteReference"/>
        </w:rPr>
        <w:footnoteReference w:id="11"/>
      </w:r>
      <w:r>
        <w:t xml:space="preserve"> charged.</w:t>
      </w:r>
    </w:p>
    <w:p w:rsidR="0037139B" w:rsidRDefault="0037139B" w:rsidP="0037139B">
      <w:pPr>
        <w:jc w:val="both"/>
      </w:pPr>
    </w:p>
    <w:p w:rsidR="0037139B" w:rsidRPr="00F8710B" w:rsidRDefault="0037139B" w:rsidP="0037139B">
      <w:pPr>
        <w:jc w:val="both"/>
        <w:rPr>
          <w:b/>
        </w:rPr>
      </w:pPr>
      <w:r w:rsidRPr="00F8710B">
        <w:rPr>
          <w:b/>
        </w:rPr>
        <w:t>Municipal Bonds vs. Corporate Bonds</w:t>
      </w:r>
    </w:p>
    <w:p w:rsidR="0037139B" w:rsidRDefault="002D7343" w:rsidP="0037139B">
      <w:pPr>
        <w:jc w:val="both"/>
      </w:pPr>
      <w:r>
        <w:t xml:space="preserve">Municipal bonds are generally exempt from federal and state </w:t>
      </w:r>
      <w:r w:rsidR="00A06EAF">
        <w:t>taxes;</w:t>
      </w:r>
      <w:r w:rsidR="00C54D6E">
        <w:t xml:space="preserve"> because of this characteristic there is no need to place these investments in your tax-deferred account.  You should buy higher interest corporate bonds in your tax-deferred account and keep your municipal bonds out.</w:t>
      </w:r>
      <w:r>
        <w:t xml:space="preserve">  </w:t>
      </w:r>
      <w:r w:rsidR="00C54D6E">
        <w:t>You can calculate the tax-equivalent yield of your municipal bonds using the following formula:</w:t>
      </w:r>
    </w:p>
    <w:p w:rsidR="00C54D6E" w:rsidRDefault="00C54D6E" w:rsidP="0037139B">
      <w:pPr>
        <w:jc w:val="both"/>
      </w:pPr>
    </w:p>
    <w:p w:rsidR="00C54D6E" w:rsidRDefault="006279AC" w:rsidP="0037139B">
      <w:pPr>
        <w:jc w:val="both"/>
      </w:pPr>
      <w:r w:rsidRPr="006279AC">
        <w:rPr>
          <w:position w:val="-14"/>
        </w:rPr>
        <w:object w:dxaOrig="12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20.25pt" o:ole="">
            <v:imagedata r:id="rId9" o:title=""/>
          </v:shape>
          <o:OLEObject Type="Embed" ProgID="Equation.DSMT4" ShapeID="_x0000_i1025" DrawAspect="Content" ObjectID="_1444130020" r:id="rId10"/>
        </w:object>
      </w:r>
    </w:p>
    <w:p w:rsidR="006279AC" w:rsidRDefault="006279AC" w:rsidP="0037139B">
      <w:pPr>
        <w:jc w:val="both"/>
      </w:pPr>
      <w:r>
        <w:tab/>
      </w:r>
      <w:proofErr w:type="gramStart"/>
      <w:r>
        <w:t>where</w:t>
      </w:r>
      <w:proofErr w:type="gramEnd"/>
      <w:r>
        <w:t xml:space="preserve">, </w:t>
      </w:r>
      <w:r>
        <w:tab/>
      </w:r>
      <w:proofErr w:type="spellStart"/>
      <w:r>
        <w:t>r</w:t>
      </w:r>
      <w:r w:rsidRPr="006279AC">
        <w:rPr>
          <w:vertAlign w:val="subscript"/>
        </w:rPr>
        <w:t>m</w:t>
      </w:r>
      <w:proofErr w:type="spellEnd"/>
      <w:r>
        <w:t xml:space="preserve"> = rate of return on municipal bond</w:t>
      </w:r>
    </w:p>
    <w:p w:rsidR="006279AC" w:rsidRDefault="006279AC" w:rsidP="0037139B">
      <w:pPr>
        <w:jc w:val="both"/>
      </w:pPr>
      <w:r>
        <w:tab/>
      </w:r>
      <w:r>
        <w:tab/>
        <w:t>r = before-tax rate of return available on a taxable bond of similar risk</w:t>
      </w:r>
    </w:p>
    <w:p w:rsidR="00C54D6E" w:rsidRDefault="006279AC" w:rsidP="0037139B">
      <w:pPr>
        <w:jc w:val="both"/>
      </w:pPr>
      <w:r>
        <w:tab/>
      </w:r>
      <w:r>
        <w:tab/>
        <w:t xml:space="preserve">t = </w:t>
      </w:r>
      <w:r w:rsidR="00A06EAF">
        <w:t>combined federal and state tax rate</w:t>
      </w:r>
      <w:r w:rsidR="00A06EAF">
        <w:rPr>
          <w:rStyle w:val="FootnoteReference"/>
        </w:rPr>
        <w:footnoteReference w:id="12"/>
      </w:r>
    </w:p>
    <w:p w:rsidR="0037139B" w:rsidRDefault="0037139B" w:rsidP="0037139B">
      <w:pPr>
        <w:jc w:val="both"/>
      </w:pPr>
    </w:p>
    <w:p w:rsidR="00A06EAF" w:rsidRDefault="00F8710B" w:rsidP="0037139B">
      <w:pPr>
        <w:jc w:val="both"/>
      </w:pPr>
      <w:r w:rsidRPr="002D7343">
        <w:rPr>
          <w:i/>
        </w:rPr>
        <w:t>Note</w:t>
      </w:r>
      <w:r>
        <w:t>: Municipals bond funds offer pass-through tax benefits.  Fidelity, Vanguard, BNY Mellon, Oppenheimer, Nuveen, Putnam, Dreyfus, Eaton Vance, Franklin, MSF, and John Hancock all offer Massachusetts Municipal Bonds Funds.</w:t>
      </w:r>
      <w:r>
        <w:rPr>
          <w:rStyle w:val="FootnoteReference"/>
        </w:rPr>
        <w:footnoteReference w:id="13"/>
      </w:r>
      <w:r>
        <w:t xml:space="preserve"> </w:t>
      </w:r>
      <w:r w:rsidR="00FF5BC5">
        <w:t xml:space="preserve">In addition, according to a working paper by Erik Sirri, Babson College Finance Professor, </w:t>
      </w:r>
      <w:r w:rsidR="00FD6AE2">
        <w:t>r</w:t>
      </w:r>
      <w:r w:rsidR="00FF5BC5" w:rsidRPr="00FF5BC5">
        <w:t>ound-trip trading cost</w:t>
      </w:r>
      <w:r w:rsidR="00FF5BC5">
        <w:t>s</w:t>
      </w:r>
      <w:r w:rsidR="00FF5BC5" w:rsidRPr="00FF5BC5">
        <w:t xml:space="preserve"> in muni bonds</w:t>
      </w:r>
      <w:r w:rsidR="00FF5BC5">
        <w:t xml:space="preserve"> fall based on trade size </w:t>
      </w:r>
      <w:r w:rsidR="00FF5BC5" w:rsidRPr="00FF5BC5">
        <w:t>the larger you trade (in</w:t>
      </w:r>
      <w:r w:rsidR="00FF5BC5">
        <w:t xml:space="preserve"> $) the lower the cost (in %).</w:t>
      </w:r>
      <w:r w:rsidR="00FF5BC5">
        <w:rPr>
          <w:rStyle w:val="FootnoteReference"/>
        </w:rPr>
        <w:footnoteReference w:id="14"/>
      </w:r>
      <w:r w:rsidR="00FF5BC5">
        <w:t xml:space="preserve">  For example,</w:t>
      </w:r>
      <w:r w:rsidR="00FF5BC5" w:rsidRPr="00FF5BC5">
        <w:t xml:space="preserve"> </w:t>
      </w:r>
      <w:r w:rsidR="00FF5BC5">
        <w:t>m</w:t>
      </w:r>
      <w:r w:rsidR="00FF5BC5" w:rsidRPr="00FF5BC5">
        <w:t xml:space="preserve">om and pop buy $25,000 of bonds and pay 2.1% but </w:t>
      </w:r>
      <w:r w:rsidR="00FF5BC5">
        <w:t>their</w:t>
      </w:r>
      <w:r w:rsidR="00FF5BC5" w:rsidRPr="00FF5BC5">
        <w:t xml:space="preserve"> </w:t>
      </w:r>
      <w:r w:rsidR="00FF5BC5">
        <w:t>mutual fund</w:t>
      </w:r>
      <w:r w:rsidR="00FF5BC5" w:rsidRPr="00FF5BC5">
        <w:t xml:space="preserve"> buys $1 million and pays .48%</w:t>
      </w:r>
      <w:r w:rsidR="00FF5BC5">
        <w:t xml:space="preserve">.  </w:t>
      </w:r>
    </w:p>
    <w:p w:rsidR="00FF5BC5" w:rsidRDefault="00FF5BC5" w:rsidP="0037139B">
      <w:pPr>
        <w:jc w:val="both"/>
      </w:pPr>
    </w:p>
    <w:p w:rsidR="00A06EAF" w:rsidRPr="00A06EAF" w:rsidRDefault="00A06EAF" w:rsidP="0037139B">
      <w:pPr>
        <w:jc w:val="both"/>
        <w:rPr>
          <w:i/>
        </w:rPr>
      </w:pPr>
      <w:r w:rsidRPr="00A06EAF">
        <w:rPr>
          <w:i/>
        </w:rPr>
        <w:t>Example</w:t>
      </w:r>
    </w:p>
    <w:p w:rsidR="00A06EAF" w:rsidRDefault="00A06EAF" w:rsidP="0037139B">
      <w:pPr>
        <w:jc w:val="both"/>
      </w:pPr>
      <w:r>
        <w:t xml:space="preserve">Suppose your tax bracket is 28% assuming you don’t have the option to put your investment in a tax-deferred account, would you prefer a corporate bond with a 6% taxable return or a municipal bond with a </w:t>
      </w:r>
      <w:r w:rsidR="005104A5">
        <w:t>4.5</w:t>
      </w:r>
      <w:r>
        <w:t>% tax-free return?</w:t>
      </w:r>
    </w:p>
    <w:p w:rsidR="00A06EAF" w:rsidRDefault="00A06EAF" w:rsidP="0037139B">
      <w:pPr>
        <w:jc w:val="both"/>
      </w:pPr>
    </w:p>
    <w:p w:rsidR="00A06EAF" w:rsidRDefault="005104A5" w:rsidP="005104A5">
      <w:pPr>
        <w:jc w:val="both"/>
      </w:pPr>
      <w:r w:rsidRPr="005104A5">
        <w:rPr>
          <w:i/>
        </w:rPr>
        <w:t>Solution</w:t>
      </w:r>
      <w:r>
        <w:t>: Calculate the after-tax yield of the corporate bond: The corporate yields 6% x (1 - 28%) = 4.32</w:t>
      </w:r>
      <w:r w:rsidRPr="005104A5">
        <w:t>%</w:t>
      </w:r>
      <w:r>
        <w:t xml:space="preserve"> after-tax. In this instance the municipal bond offers the higher after-tax yield.  To calculate the tax rate for which the investor would be indifferent, solve for t. An investor would be indifferent if their tax rate was 25%.</w:t>
      </w:r>
      <w:r>
        <w:rPr>
          <w:rStyle w:val="FootnoteReference"/>
        </w:rPr>
        <w:footnoteReference w:id="15"/>
      </w:r>
      <w:r>
        <w:t xml:space="preserve"> </w:t>
      </w:r>
    </w:p>
    <w:p w:rsidR="00FF5BC5" w:rsidRPr="00FF5BC5" w:rsidRDefault="0077259F" w:rsidP="00FF5BC5">
      <w:pPr>
        <w:jc w:val="both"/>
        <w:rPr>
          <w:b/>
        </w:rPr>
      </w:pPr>
      <w:bookmarkStart w:id="0" w:name="_GoBack"/>
      <w:bookmarkEnd w:id="0"/>
      <w:r>
        <w:rPr>
          <w:b/>
        </w:rPr>
        <w:lastRenderedPageBreak/>
        <w:t>Asset</w:t>
      </w:r>
      <w:r w:rsidR="00FF5BC5" w:rsidRPr="00FF5BC5">
        <w:rPr>
          <w:b/>
        </w:rPr>
        <w:t>-Backed Securities</w:t>
      </w:r>
    </w:p>
    <w:p w:rsidR="00FF5BC5" w:rsidRDefault="00FF5BC5" w:rsidP="0077259F">
      <w:pPr>
        <w:jc w:val="both"/>
      </w:pPr>
      <w:r>
        <w:t>A</w:t>
      </w:r>
      <w:r w:rsidR="0077259F">
        <w:t>n</w:t>
      </w:r>
      <w:r>
        <w:t xml:space="preserve"> </w:t>
      </w:r>
      <w:r w:rsidR="0077259F">
        <w:t>asset</w:t>
      </w:r>
      <w:r>
        <w:t>-backed security is a</w:t>
      </w:r>
      <w:r w:rsidR="0077259F">
        <w:t xml:space="preserve"> type of pass-through security, where a </w:t>
      </w:r>
      <w:r w:rsidR="0077259F" w:rsidRPr="0077259F">
        <w:t>pool of fixed-income securities backed by a package of assets. A servicing intermediary collects the monthly payments from issuers and, after deducting a fee, remits or passes them through to the holders of the pass-through security.</w:t>
      </w:r>
      <w:r w:rsidR="0077259F">
        <w:rPr>
          <w:rStyle w:val="FootnoteReference"/>
        </w:rPr>
        <w:footnoteReference w:id="16"/>
      </w:r>
      <w:r w:rsidR="0077259F" w:rsidRPr="0077259F">
        <w:t xml:space="preserve"> </w:t>
      </w:r>
      <w:r w:rsidR="0077259F">
        <w:t xml:space="preserve">Asset-backed securities can </w:t>
      </w:r>
      <w:r w:rsidR="00CF7C40">
        <w:t>be backed by credit cards, auto loans, royalty payments, etc.</w:t>
      </w:r>
      <w:r w:rsidR="00CF7C40">
        <w:rPr>
          <w:rStyle w:val="FootnoteReference"/>
        </w:rPr>
        <w:footnoteReference w:id="17"/>
      </w:r>
      <w:r w:rsidR="00CF7C40">
        <w:t xml:space="preserve">  </w:t>
      </w:r>
      <w:r>
        <w:t xml:space="preserve">The most commonly sold mortgage-backed securities are issued by the entities </w:t>
      </w:r>
      <w:r w:rsidR="0077259F">
        <w:t>the Government National Mortgage Association (</w:t>
      </w:r>
      <w:proofErr w:type="spellStart"/>
      <w:r>
        <w:t>Ginnie</w:t>
      </w:r>
      <w:proofErr w:type="spellEnd"/>
      <w:r>
        <w:t xml:space="preserve"> Mae</w:t>
      </w:r>
      <w:r w:rsidR="0077259F">
        <w:t>)</w:t>
      </w:r>
      <w:r>
        <w:t xml:space="preserve"> and </w:t>
      </w:r>
      <w:r w:rsidR="0077259F">
        <w:t>the Federal National Mortgage Association (</w:t>
      </w:r>
      <w:r>
        <w:t>Freddie Mac</w:t>
      </w:r>
      <w:r w:rsidR="0077259F">
        <w:t>)</w:t>
      </w:r>
      <w:r>
        <w:t>.</w:t>
      </w:r>
      <w:r w:rsidR="0077259F" w:rsidRPr="0077259F">
        <w:rPr>
          <w:rStyle w:val="FootnoteReference"/>
        </w:rPr>
        <w:footnoteReference w:id="18"/>
      </w:r>
    </w:p>
    <w:p w:rsidR="0037139B" w:rsidRDefault="0037139B" w:rsidP="0037139B">
      <w:pPr>
        <w:jc w:val="both"/>
      </w:pPr>
    </w:p>
    <w:p w:rsidR="00CF7C40" w:rsidRDefault="00CF7C40" w:rsidP="0037139B">
      <w:pPr>
        <w:jc w:val="both"/>
      </w:pPr>
      <w:r w:rsidRPr="00CF7C40">
        <w:rPr>
          <w:b/>
        </w:rPr>
        <w:t>Money Market Funds</w:t>
      </w:r>
      <w:r>
        <w:t xml:space="preserve"> – are mutual funds that invest in the short-term debt instruments that comprise the money market.  They are required to hold only short-maturity debt of the highest quality.</w:t>
      </w:r>
      <w:r>
        <w:rPr>
          <w:rStyle w:val="FootnoteReference"/>
        </w:rPr>
        <w:footnoteReference w:id="19"/>
      </w:r>
    </w:p>
    <w:p w:rsidR="00CF7C40" w:rsidRPr="00FD6AE2" w:rsidRDefault="00CF7C40" w:rsidP="0037139B">
      <w:pPr>
        <w:jc w:val="both"/>
        <w:rPr>
          <w:sz w:val="12"/>
          <w:szCs w:val="12"/>
        </w:rPr>
      </w:pPr>
    </w:p>
    <w:p w:rsidR="006931E3" w:rsidRPr="006931E3" w:rsidRDefault="006931E3" w:rsidP="0037139B">
      <w:pPr>
        <w:jc w:val="both"/>
        <w:rPr>
          <w:b/>
        </w:rPr>
      </w:pPr>
      <w:r w:rsidRPr="006931E3">
        <w:rPr>
          <w:b/>
        </w:rPr>
        <w:t>Appendix 1: UIT/ETF/Mutual Fund/Individual Security Comparison</w:t>
      </w:r>
    </w:p>
    <w:p w:rsidR="006931E3" w:rsidRDefault="006931E3" w:rsidP="0037139B">
      <w:pPr>
        <w:jc w:val="both"/>
      </w:pPr>
      <w:r>
        <w:rPr>
          <w:noProof/>
        </w:rPr>
        <w:drawing>
          <wp:inline distT="0" distB="0" distL="0" distR="0" wp14:anchorId="3FDF2F20" wp14:editId="21FCBE87">
            <wp:extent cx="5238750" cy="2085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159" t="32479" r="37011" b="40742"/>
                    <a:stretch/>
                  </pic:blipFill>
                  <pic:spPr bwMode="auto">
                    <a:xfrm>
                      <a:off x="0" y="0"/>
                      <a:ext cx="5240125" cy="2086523"/>
                    </a:xfrm>
                    <a:prstGeom prst="rect">
                      <a:avLst/>
                    </a:prstGeom>
                    <a:ln>
                      <a:noFill/>
                    </a:ln>
                    <a:extLst>
                      <a:ext uri="{53640926-AAD7-44D8-BBD7-CCE9431645EC}">
                        <a14:shadowObscured xmlns:a14="http://schemas.microsoft.com/office/drawing/2010/main"/>
                      </a:ext>
                    </a:extLst>
                  </pic:spPr>
                </pic:pic>
              </a:graphicData>
            </a:graphic>
          </wp:inline>
        </w:drawing>
      </w:r>
    </w:p>
    <w:p w:rsidR="006931E3" w:rsidRDefault="00FD6AE2" w:rsidP="0037139B">
      <w:pPr>
        <w:jc w:val="both"/>
      </w:pPr>
      <w:r>
        <w:t>See o</w:t>
      </w:r>
      <w:r w:rsidR="006931E3">
        <w:t xml:space="preserve">riginal </w:t>
      </w:r>
      <w:r>
        <w:t>s</w:t>
      </w:r>
      <w:r w:rsidR="006931E3">
        <w:t xml:space="preserve">ource for </w:t>
      </w:r>
      <w:r>
        <w:t>a</w:t>
      </w:r>
      <w:r w:rsidR="006931E3">
        <w:t xml:space="preserve">dditional </w:t>
      </w:r>
      <w:r>
        <w:t>d</w:t>
      </w:r>
      <w:r w:rsidR="006931E3">
        <w:t xml:space="preserve">etail: </w:t>
      </w:r>
      <w:r w:rsidR="005104A5">
        <w:t>http://www.invesco.com/pdf/U-UITGEN-IVG-1.pdf</w:t>
      </w:r>
    </w:p>
    <w:p w:rsidR="005104A5" w:rsidRPr="00FD6AE2" w:rsidRDefault="005104A5" w:rsidP="0037139B">
      <w:pPr>
        <w:jc w:val="both"/>
        <w:rPr>
          <w:sz w:val="12"/>
          <w:szCs w:val="12"/>
        </w:rPr>
      </w:pPr>
    </w:p>
    <w:p w:rsidR="00FF5BC5" w:rsidRPr="00053E4D" w:rsidRDefault="00FF5BC5" w:rsidP="00FF5BC5">
      <w:pPr>
        <w:rPr>
          <w:i/>
        </w:rPr>
      </w:pPr>
      <w:r>
        <w:rPr>
          <w:i/>
        </w:rPr>
        <w:t>S</w:t>
      </w:r>
      <w:r w:rsidRPr="00053E4D">
        <w:rPr>
          <w:i/>
        </w:rPr>
        <w:t>uggested Readings</w:t>
      </w:r>
      <w:r w:rsidR="00FD6AE2">
        <w:rPr>
          <w:rStyle w:val="FootnoteReference"/>
          <w:i/>
        </w:rPr>
        <w:footnoteReference w:id="20"/>
      </w:r>
    </w:p>
    <w:p w:rsidR="00FF5BC5" w:rsidRDefault="00FF5BC5" w:rsidP="00FF5BC5">
      <w:pPr>
        <w:pStyle w:val="ListParagraph"/>
        <w:numPr>
          <w:ilvl w:val="0"/>
          <w:numId w:val="1"/>
        </w:numPr>
      </w:pPr>
      <w:r>
        <w:t>The Journal of Fixed Income</w:t>
      </w:r>
    </w:p>
    <w:p w:rsidR="00FF5BC5" w:rsidRDefault="00FF5BC5" w:rsidP="00FF5BC5">
      <w:pPr>
        <w:pStyle w:val="ListParagraph"/>
        <w:numPr>
          <w:ilvl w:val="0"/>
          <w:numId w:val="1"/>
        </w:numPr>
      </w:pPr>
      <w:r>
        <w:t xml:space="preserve">Income Securities Investor Newsletter:  http://www.isinewsletter.com/ </w:t>
      </w:r>
    </w:p>
    <w:p w:rsidR="00FF5BC5" w:rsidRDefault="00FF5BC5" w:rsidP="00FF5BC5">
      <w:pPr>
        <w:pStyle w:val="ListParagraph"/>
        <w:numPr>
          <w:ilvl w:val="0"/>
          <w:numId w:val="1"/>
        </w:numPr>
      </w:pPr>
      <w:r>
        <w:t xml:space="preserve">Grant’s Interest Rate Observer: http://www.grantspub.com/ </w:t>
      </w:r>
    </w:p>
    <w:p w:rsidR="00FF5BC5" w:rsidRDefault="00FF5BC5" w:rsidP="00FF5BC5">
      <w:pPr>
        <w:pStyle w:val="ListParagraph"/>
        <w:numPr>
          <w:ilvl w:val="0"/>
          <w:numId w:val="1"/>
        </w:numPr>
      </w:pPr>
      <w:r>
        <w:t>Prospect News High Yield Daily: http://www.prospectnews.com/hydetails.html</w:t>
      </w:r>
    </w:p>
    <w:p w:rsidR="00FF5BC5" w:rsidRDefault="00FF5BC5" w:rsidP="00FF5BC5">
      <w:pPr>
        <w:pStyle w:val="ListParagraph"/>
        <w:numPr>
          <w:ilvl w:val="0"/>
          <w:numId w:val="1"/>
        </w:numPr>
      </w:pPr>
      <w:r>
        <w:t>Barron’s Weekly: http://online.barrons.com/this_week?mod=BOL_hpp_tnav_magazine</w:t>
      </w:r>
    </w:p>
    <w:p w:rsidR="00FF5BC5" w:rsidRDefault="00FF5BC5" w:rsidP="00FF5BC5">
      <w:pPr>
        <w:pStyle w:val="ListParagraph"/>
        <w:numPr>
          <w:ilvl w:val="0"/>
          <w:numId w:val="1"/>
        </w:numPr>
      </w:pPr>
      <w:r>
        <w:t xml:space="preserve">WSJ </w:t>
      </w:r>
      <w:proofErr w:type="spellStart"/>
      <w:r>
        <w:t>SmartMoney</w:t>
      </w:r>
      <w:proofErr w:type="spellEnd"/>
      <w:r>
        <w:t>: http://www.smartmoney.com/invest/bonds/</w:t>
      </w:r>
    </w:p>
    <w:p w:rsidR="00FF5BC5" w:rsidRDefault="00FF5BC5" w:rsidP="00FF5BC5">
      <w:pPr>
        <w:pStyle w:val="ListParagraph"/>
        <w:numPr>
          <w:ilvl w:val="0"/>
          <w:numId w:val="1"/>
        </w:numPr>
      </w:pPr>
      <w:r>
        <w:t xml:space="preserve">Forbes: http://www.forbes.com/bonds/ </w:t>
      </w:r>
    </w:p>
    <w:p w:rsidR="00FF5BC5" w:rsidRDefault="00FF5BC5" w:rsidP="00FF5BC5">
      <w:pPr>
        <w:pStyle w:val="ListParagraph"/>
        <w:numPr>
          <w:ilvl w:val="0"/>
          <w:numId w:val="1"/>
        </w:numPr>
      </w:pPr>
      <w:r w:rsidRPr="00053E4D">
        <w:rPr>
          <w:i/>
        </w:rPr>
        <w:t>Investing in Fixed Income Securities</w:t>
      </w:r>
      <w:r>
        <w:t xml:space="preserve"> by Gary </w:t>
      </w:r>
      <w:proofErr w:type="spellStart"/>
      <w:r>
        <w:t>Strumeyer</w:t>
      </w:r>
      <w:proofErr w:type="spellEnd"/>
    </w:p>
    <w:p w:rsidR="00FF5BC5" w:rsidRDefault="00FF5BC5" w:rsidP="00FF5BC5">
      <w:pPr>
        <w:pStyle w:val="ListParagraph"/>
        <w:numPr>
          <w:ilvl w:val="0"/>
          <w:numId w:val="1"/>
        </w:numPr>
      </w:pPr>
      <w:r w:rsidRPr="00053E4D">
        <w:rPr>
          <w:i/>
        </w:rPr>
        <w:t>Secrets of the Temple</w:t>
      </w:r>
      <w:r>
        <w:t xml:space="preserve"> by William </w:t>
      </w:r>
      <w:proofErr w:type="spellStart"/>
      <w:r>
        <w:t>Greider</w:t>
      </w:r>
      <w:proofErr w:type="spellEnd"/>
      <w:r>
        <w:t xml:space="preserve"> (1987)</w:t>
      </w:r>
    </w:p>
    <w:p w:rsidR="005104A5" w:rsidRDefault="00FF5BC5" w:rsidP="00266930">
      <w:pPr>
        <w:pStyle w:val="ListParagraph"/>
        <w:numPr>
          <w:ilvl w:val="0"/>
          <w:numId w:val="1"/>
        </w:numPr>
      </w:pPr>
      <w:r>
        <w:t xml:space="preserve">Investinginbonds.com created by the Securities Industry and Financial Markets Association (SIFMA)  “Bonds at your stage of life” </w:t>
      </w:r>
      <w:r w:rsidRPr="00FF5BC5">
        <w:t>http://www.investinginbonds.com/learnmore.asp?catid=7&amp;id=409#tt</w:t>
      </w:r>
    </w:p>
    <w:sectPr w:rsidR="005104A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A64" w:rsidRDefault="00A16A64" w:rsidP="00110488">
      <w:r>
        <w:separator/>
      </w:r>
    </w:p>
  </w:endnote>
  <w:endnote w:type="continuationSeparator" w:id="0">
    <w:p w:rsidR="00A16A64" w:rsidRDefault="00A16A64" w:rsidP="0011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768349"/>
      <w:docPartObj>
        <w:docPartGallery w:val="Page Numbers (Bottom of Page)"/>
        <w:docPartUnique/>
      </w:docPartObj>
    </w:sdtPr>
    <w:sdtEndPr>
      <w:rPr>
        <w:noProof/>
      </w:rPr>
    </w:sdtEndPr>
    <w:sdtContent>
      <w:p w:rsidR="00A06EAF" w:rsidRDefault="00A06EAF">
        <w:pPr>
          <w:pStyle w:val="Footer"/>
          <w:jc w:val="right"/>
        </w:pPr>
        <w:r>
          <w:fldChar w:fldCharType="begin"/>
        </w:r>
        <w:r>
          <w:instrText xml:space="preserve"> PAGE   \* MERGEFORMAT </w:instrText>
        </w:r>
        <w:r>
          <w:fldChar w:fldCharType="separate"/>
        </w:r>
        <w:r w:rsidR="004D1A89">
          <w:rPr>
            <w:noProof/>
          </w:rPr>
          <w:t>3</w:t>
        </w:r>
        <w:r>
          <w:rPr>
            <w:noProof/>
          </w:rPr>
          <w:fldChar w:fldCharType="end"/>
        </w:r>
      </w:p>
    </w:sdtContent>
  </w:sdt>
  <w:p w:rsidR="00A06EAF" w:rsidRDefault="00A06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A64" w:rsidRDefault="00A16A64" w:rsidP="00110488">
      <w:r>
        <w:separator/>
      </w:r>
    </w:p>
  </w:footnote>
  <w:footnote w:type="continuationSeparator" w:id="0">
    <w:p w:rsidR="00A16A64" w:rsidRDefault="00A16A64" w:rsidP="00110488">
      <w:r>
        <w:continuationSeparator/>
      </w:r>
    </w:p>
  </w:footnote>
  <w:footnote w:id="1">
    <w:p w:rsidR="006279AC" w:rsidRDefault="006279AC">
      <w:pPr>
        <w:pStyle w:val="FootnoteText"/>
      </w:pPr>
      <w:r>
        <w:rPr>
          <w:rStyle w:val="FootnoteReference"/>
        </w:rPr>
        <w:footnoteRef/>
      </w:r>
      <w:r>
        <w:t xml:space="preserve"> </w:t>
      </w:r>
      <w:r w:rsidRPr="006279AC">
        <w:t>A mutual fund is a company that pools money from many investors and invests the money in stocks, bonds, short-term money-market instr</w:t>
      </w:r>
      <w:r>
        <w:t>u</w:t>
      </w:r>
      <w:r w:rsidRPr="006279AC">
        <w:t>ments, other securities or assets, or s</w:t>
      </w:r>
      <w:r>
        <w:t>ome combination of these invest</w:t>
      </w:r>
      <w:r w:rsidRPr="006279AC">
        <w:t>ments.</w:t>
      </w:r>
    </w:p>
  </w:footnote>
  <w:footnote w:id="2">
    <w:p w:rsidR="00210EBC" w:rsidRDefault="00210EBC">
      <w:pPr>
        <w:pStyle w:val="FootnoteText"/>
      </w:pPr>
      <w:r>
        <w:rPr>
          <w:rStyle w:val="FootnoteReference"/>
        </w:rPr>
        <w:footnoteRef/>
      </w:r>
      <w:r>
        <w:t xml:space="preserve"> U</w:t>
      </w:r>
      <w:r w:rsidRPr="00210EBC">
        <w:t xml:space="preserve">nlike mutual funds, </w:t>
      </w:r>
      <w:r>
        <w:t xml:space="preserve">closed-end funds </w:t>
      </w:r>
      <w:r w:rsidRPr="00210EBC">
        <w:t>sell a fixed number of shares at one time (in an initial public offering) that later trade on a secondary market</w:t>
      </w:r>
      <w:r>
        <w:t xml:space="preserve">.  See: </w:t>
      </w:r>
      <w:r w:rsidRPr="00210EBC">
        <w:t>http://www.sec.gov/investor/pubs/sec-guide-to-mutual-funds.pdf</w:t>
      </w:r>
    </w:p>
  </w:footnote>
  <w:footnote w:id="3">
    <w:p w:rsidR="00210EBC" w:rsidRDefault="00210EBC" w:rsidP="00210EBC">
      <w:pPr>
        <w:pStyle w:val="FootnoteText"/>
      </w:pPr>
      <w:r>
        <w:rPr>
          <w:rStyle w:val="FootnoteReference"/>
        </w:rPr>
        <w:footnoteRef/>
      </w:r>
      <w:r>
        <w:t xml:space="preserve"> O</w:t>
      </w:r>
      <w:r w:rsidRPr="00B12081">
        <w:t>nce the holdings are chosen</w:t>
      </w:r>
      <w:r>
        <w:t xml:space="preserve"> by the manager</w:t>
      </w:r>
      <w:r w:rsidRPr="00B12081">
        <w:t>, they are fixed and do not change for the life of the trust. Like bonds, investors get their principal back on the closure date (as long as none of the bonds default)</w:t>
      </w:r>
      <w:r>
        <w:t xml:space="preserve">. See: </w:t>
      </w:r>
      <w:r w:rsidRPr="00B12081">
        <w:t>http://helpdesk.blogs.money.cnn.com/2011/06/24/municipal-bond-uit/</w:t>
      </w:r>
    </w:p>
  </w:footnote>
  <w:footnote w:id="4">
    <w:p w:rsidR="00210EBC" w:rsidRDefault="00210EBC">
      <w:pPr>
        <w:pStyle w:val="FootnoteText"/>
      </w:pPr>
      <w:r>
        <w:rPr>
          <w:rStyle w:val="FootnoteReference"/>
        </w:rPr>
        <w:footnoteRef/>
      </w:r>
      <w:r>
        <w:t xml:space="preserve"> ETFs</w:t>
      </w:r>
      <w:r w:rsidRPr="00210EBC">
        <w:t xml:space="preserve"> </w:t>
      </w:r>
      <w:r>
        <w:t>aim</w:t>
      </w:r>
      <w:r w:rsidRPr="00210EBC">
        <w:t xml:space="preserve"> to achieve the same return as a particular market index</w:t>
      </w:r>
      <w:r>
        <w:t>,</w:t>
      </w:r>
      <w:r w:rsidRPr="00210EBC">
        <w:t xml:space="preserve"> </w:t>
      </w:r>
      <w:r>
        <w:t>t</w:t>
      </w:r>
      <w:r w:rsidRPr="00210EBC">
        <w:t>hey can be ei</w:t>
      </w:r>
      <w:r>
        <w:t>ther open-end companies or UITs;</w:t>
      </w:r>
      <w:r w:rsidRPr="00210EBC">
        <w:t xml:space="preserve"> </w:t>
      </w:r>
      <w:r>
        <w:t>b</w:t>
      </w:r>
      <w:r w:rsidRPr="00210EBC">
        <w:t>ut ETFs are not permitted to call themselves, mutual funds</w:t>
      </w:r>
      <w:r>
        <w:t xml:space="preserve">. </w:t>
      </w:r>
      <w:r w:rsidRPr="00210EBC">
        <w:t>http://www.sec.gov/investor/pubs/sec-guide-to-mutual-funds.pdf</w:t>
      </w:r>
    </w:p>
  </w:footnote>
  <w:footnote w:id="5">
    <w:p w:rsidR="00110488" w:rsidRDefault="00110488">
      <w:pPr>
        <w:pStyle w:val="FootnoteText"/>
      </w:pPr>
      <w:r>
        <w:rPr>
          <w:rStyle w:val="FootnoteReference"/>
        </w:rPr>
        <w:footnoteRef/>
      </w:r>
      <w:r>
        <w:t xml:space="preserve"> </w:t>
      </w:r>
      <w:r w:rsidRPr="00110488">
        <w:t>http://money.usnews.com/funds/mutual-funds</w:t>
      </w:r>
    </w:p>
  </w:footnote>
  <w:footnote w:id="6">
    <w:p w:rsidR="00210EBC" w:rsidRPr="00210EBC" w:rsidRDefault="00210EBC" w:rsidP="00210EBC">
      <w:pPr>
        <w:rPr>
          <w:sz w:val="20"/>
          <w:szCs w:val="20"/>
        </w:rPr>
      </w:pPr>
      <w:r>
        <w:rPr>
          <w:rStyle w:val="FootnoteReference"/>
        </w:rPr>
        <w:footnoteRef/>
      </w:r>
      <w:r>
        <w:t xml:space="preserve"> </w:t>
      </w:r>
      <w:r w:rsidRPr="00210EBC">
        <w:rPr>
          <w:sz w:val="20"/>
          <w:szCs w:val="20"/>
        </w:rPr>
        <w:t>ETFs are a type of exchange-traded investment product that must register with the SEC under the 1940 Act as either an open-end investment company (generally known as “fund</w:t>
      </w:r>
      <w:r>
        <w:rPr>
          <w:sz w:val="20"/>
          <w:szCs w:val="20"/>
        </w:rPr>
        <w:t xml:space="preserve">s”) or a unit investment trust. For Additional Information See: </w:t>
      </w:r>
      <w:r w:rsidRPr="00210EBC">
        <w:rPr>
          <w:sz w:val="20"/>
          <w:szCs w:val="20"/>
        </w:rPr>
        <w:t>http://investor.gov/news-alerts/investor-bulletins/investor-bulletin-exchange-traded-funds-etfs</w:t>
      </w:r>
    </w:p>
  </w:footnote>
  <w:footnote w:id="7">
    <w:p w:rsidR="0037139B" w:rsidRDefault="0037139B">
      <w:pPr>
        <w:pStyle w:val="FootnoteText"/>
      </w:pPr>
      <w:r>
        <w:rPr>
          <w:rStyle w:val="FootnoteReference"/>
        </w:rPr>
        <w:footnoteRef/>
      </w:r>
      <w:r>
        <w:t xml:space="preserve"> </w:t>
      </w:r>
      <w:r w:rsidRPr="0037139B">
        <w:t>http://etf.about.com/od/bondetfs/a/Types_Bond_ETFs.htm</w:t>
      </w:r>
    </w:p>
  </w:footnote>
  <w:footnote w:id="8">
    <w:p w:rsidR="006279AC" w:rsidRDefault="006279AC">
      <w:pPr>
        <w:pStyle w:val="FootnoteText"/>
      </w:pPr>
      <w:r>
        <w:rPr>
          <w:rStyle w:val="FootnoteReference"/>
        </w:rPr>
        <w:footnoteRef/>
      </w:r>
      <w:r>
        <w:t xml:space="preserve"> F</w:t>
      </w:r>
      <w:r w:rsidRPr="006279AC">
        <w:t>or a ranking of closed end funds see: http://screen.morningstar.com/cef-quick-rank/</w:t>
      </w:r>
    </w:p>
  </w:footnote>
  <w:footnote w:id="9">
    <w:p w:rsidR="002D7343" w:rsidRDefault="002D7343">
      <w:pPr>
        <w:pStyle w:val="FootnoteText"/>
      </w:pPr>
      <w:r>
        <w:rPr>
          <w:rStyle w:val="FootnoteReference"/>
        </w:rPr>
        <w:footnoteRef/>
      </w:r>
      <w:r>
        <w:t xml:space="preserve"> </w:t>
      </w:r>
      <w:r w:rsidRPr="002D7343">
        <w:t>http://www.sifma.org/research/statistics.aspx</w:t>
      </w:r>
    </w:p>
  </w:footnote>
  <w:footnote w:id="10">
    <w:p w:rsidR="006931E3" w:rsidRDefault="006931E3">
      <w:pPr>
        <w:pStyle w:val="FootnoteText"/>
      </w:pPr>
      <w:r>
        <w:rPr>
          <w:rStyle w:val="FootnoteReference"/>
        </w:rPr>
        <w:footnoteRef/>
      </w:r>
      <w:r>
        <w:t xml:space="preserve"> </w:t>
      </w:r>
      <w:r w:rsidRPr="006931E3">
        <w:t>http://www.invesco.com/pdf/U-UITGEN-IVG-1.pdf</w:t>
      </w:r>
    </w:p>
  </w:footnote>
  <w:footnote w:id="11">
    <w:p w:rsidR="00F8710B" w:rsidRDefault="00F8710B">
      <w:pPr>
        <w:pStyle w:val="FootnoteText"/>
      </w:pPr>
      <w:r>
        <w:rPr>
          <w:rStyle w:val="FootnoteReference"/>
        </w:rPr>
        <w:footnoteRef/>
      </w:r>
      <w:r>
        <w:t xml:space="preserve"> </w:t>
      </w:r>
      <w:r w:rsidRPr="00F8710B">
        <w:t>The Total Annual Fund Operating Expenses ("Expense Ratio") represents the total of all of a mutual fund's annual fund operating expenses, expressed as a percentage of the fund's average net assets</w:t>
      </w:r>
      <w:r>
        <w:t>.</w:t>
      </w:r>
    </w:p>
  </w:footnote>
  <w:footnote w:id="12">
    <w:p w:rsidR="00A06EAF" w:rsidRDefault="00A06EAF">
      <w:pPr>
        <w:pStyle w:val="FootnoteText"/>
      </w:pPr>
      <w:r>
        <w:rPr>
          <w:rStyle w:val="FootnoteReference"/>
        </w:rPr>
        <w:footnoteRef/>
      </w:r>
      <w:r>
        <w:t xml:space="preserve"> For example, if your federal tax rate is 28% and your state tax rate is 5%, then your combined tax rate would be (1-t</w:t>
      </w:r>
      <w:r w:rsidRPr="00A06EAF">
        <w:rPr>
          <w:vertAlign w:val="subscript"/>
        </w:rPr>
        <w:t>federal</w:t>
      </w:r>
      <w:proofErr w:type="gramStart"/>
      <w:r>
        <w:t>)x</w:t>
      </w:r>
      <w:proofErr w:type="gramEnd"/>
      <w:r>
        <w:t>(1-t</w:t>
      </w:r>
      <w:r w:rsidRPr="00A06EAF">
        <w:rPr>
          <w:vertAlign w:val="subscript"/>
        </w:rPr>
        <w:t>state</w:t>
      </w:r>
      <w:r>
        <w:t xml:space="preserve">) = 68.4% which implies a combined tax rate of 31.6%.  See </w:t>
      </w:r>
      <w:r w:rsidRPr="00A06EAF">
        <w:rPr>
          <w:u w:val="single"/>
        </w:rPr>
        <w:t>Essentials of Investments</w:t>
      </w:r>
      <w:r>
        <w:t>, 9</w:t>
      </w:r>
      <w:r w:rsidRPr="00A06EAF">
        <w:rPr>
          <w:vertAlign w:val="superscript"/>
        </w:rPr>
        <w:t>th</w:t>
      </w:r>
      <w:r>
        <w:t xml:space="preserve"> edition, by </w:t>
      </w:r>
      <w:proofErr w:type="spellStart"/>
      <w:r>
        <w:t>Bodie</w:t>
      </w:r>
      <w:proofErr w:type="spellEnd"/>
      <w:r>
        <w:t xml:space="preserve">, Kane and Marcus, Chapter 2 p. 33  </w:t>
      </w:r>
    </w:p>
  </w:footnote>
  <w:footnote w:id="13">
    <w:p w:rsidR="00F8710B" w:rsidRDefault="00F8710B">
      <w:pPr>
        <w:pStyle w:val="FootnoteText"/>
      </w:pPr>
      <w:r>
        <w:rPr>
          <w:rStyle w:val="FootnoteReference"/>
        </w:rPr>
        <w:footnoteRef/>
      </w:r>
      <w:r>
        <w:t xml:space="preserve"> </w:t>
      </w:r>
      <w:r w:rsidRPr="00F8710B">
        <w:t>http://money.usnews.com/funds/mutual-funds/rankings/muni-massachusetts</w:t>
      </w:r>
    </w:p>
  </w:footnote>
  <w:footnote w:id="14">
    <w:p w:rsidR="00FF5BC5" w:rsidRDefault="00FF5BC5">
      <w:pPr>
        <w:pStyle w:val="FootnoteText"/>
      </w:pPr>
      <w:r>
        <w:rPr>
          <w:rStyle w:val="FootnoteReference"/>
        </w:rPr>
        <w:footnoteRef/>
      </w:r>
      <w:r>
        <w:t xml:space="preserve"> For a list of Prof. </w:t>
      </w:r>
      <w:proofErr w:type="spellStart"/>
      <w:r>
        <w:t>Sirri’s</w:t>
      </w:r>
      <w:proofErr w:type="spellEnd"/>
      <w:r>
        <w:t xml:space="preserve"> research see: </w:t>
      </w:r>
      <w:r w:rsidRPr="00FF5BC5">
        <w:t>http://faculty.babson.edu/sirri/</w:t>
      </w:r>
    </w:p>
  </w:footnote>
  <w:footnote w:id="15">
    <w:p w:rsidR="005104A5" w:rsidRDefault="005104A5">
      <w:pPr>
        <w:pStyle w:val="FootnoteText"/>
      </w:pPr>
      <w:r>
        <w:rPr>
          <w:rStyle w:val="FootnoteReference"/>
        </w:rPr>
        <w:footnoteRef/>
      </w:r>
      <w:r>
        <w:t xml:space="preserve"> </w:t>
      </w:r>
      <w:r w:rsidRPr="005104A5">
        <w:t>6% x (1 – t) = 4.5%; (1 – t) = 4.5%/6% = 0.75; t = 25%.</w:t>
      </w:r>
    </w:p>
  </w:footnote>
  <w:footnote w:id="16">
    <w:p w:rsidR="0077259F" w:rsidRDefault="0077259F">
      <w:pPr>
        <w:pStyle w:val="FootnoteText"/>
      </w:pPr>
      <w:r>
        <w:rPr>
          <w:rStyle w:val="FootnoteReference"/>
        </w:rPr>
        <w:footnoteRef/>
      </w:r>
      <w:r>
        <w:t xml:space="preserve"> </w:t>
      </w:r>
      <w:r w:rsidRPr="0077259F">
        <w:t>http://www.investopedia.com/terms/p/passthroughsecurity.asp</w:t>
      </w:r>
    </w:p>
  </w:footnote>
  <w:footnote w:id="17">
    <w:p w:rsidR="00CF7C40" w:rsidRDefault="00CF7C40">
      <w:pPr>
        <w:pStyle w:val="FootnoteText"/>
      </w:pPr>
      <w:r>
        <w:rPr>
          <w:rStyle w:val="FootnoteReference"/>
        </w:rPr>
        <w:footnoteRef/>
      </w:r>
      <w:r>
        <w:t xml:space="preserve"> </w:t>
      </w:r>
      <w:r w:rsidRPr="00CF7C40">
        <w:t>http://en.wikipedia.org/wiki/Asset-backed_security</w:t>
      </w:r>
    </w:p>
  </w:footnote>
  <w:footnote w:id="18">
    <w:p w:rsidR="0077259F" w:rsidRDefault="0077259F" w:rsidP="0077259F">
      <w:pPr>
        <w:pStyle w:val="FootnoteText"/>
      </w:pPr>
      <w:r>
        <w:rPr>
          <w:rStyle w:val="FootnoteReference"/>
        </w:rPr>
        <w:footnoteRef/>
      </w:r>
      <w:r>
        <w:t xml:space="preserve"> </w:t>
      </w:r>
      <w:r w:rsidRPr="0077259F">
        <w:t>https://www.wellsfargo.com/investing/bonds/types</w:t>
      </w:r>
    </w:p>
  </w:footnote>
  <w:footnote w:id="19">
    <w:p w:rsidR="00CF7C40" w:rsidRDefault="00CF7C40">
      <w:pPr>
        <w:pStyle w:val="FootnoteText"/>
      </w:pPr>
      <w:r>
        <w:rPr>
          <w:rStyle w:val="FootnoteReference"/>
        </w:rPr>
        <w:footnoteRef/>
      </w:r>
      <w:r>
        <w:t xml:space="preserve"> </w:t>
      </w:r>
      <w:proofErr w:type="gramStart"/>
      <w:r>
        <w:t xml:space="preserve">Cited from See </w:t>
      </w:r>
      <w:r w:rsidRPr="00A06EAF">
        <w:rPr>
          <w:u w:val="single"/>
        </w:rPr>
        <w:t>Essentials of Investments</w:t>
      </w:r>
      <w:r>
        <w:t>, 9</w:t>
      </w:r>
      <w:r w:rsidRPr="00A06EAF">
        <w:rPr>
          <w:vertAlign w:val="superscript"/>
        </w:rPr>
        <w:t>th</w:t>
      </w:r>
      <w:r>
        <w:t xml:space="preserve"> edition, by </w:t>
      </w:r>
      <w:proofErr w:type="spellStart"/>
      <w:r>
        <w:t>Bodie</w:t>
      </w:r>
      <w:proofErr w:type="spellEnd"/>
      <w:r>
        <w:t>, Kane and Marcus, Chapter 2 p. 31.</w:t>
      </w:r>
      <w:proofErr w:type="gramEnd"/>
    </w:p>
  </w:footnote>
  <w:footnote w:id="20">
    <w:p w:rsidR="00FD6AE2" w:rsidRDefault="00FD6AE2">
      <w:pPr>
        <w:pStyle w:val="FootnoteText"/>
      </w:pPr>
      <w:r>
        <w:rPr>
          <w:rStyle w:val="FootnoteReference"/>
        </w:rPr>
        <w:footnoteRef/>
      </w:r>
      <w:r>
        <w:t xml:space="preserve"> This list is based on recommendations from Babson </w:t>
      </w:r>
      <w:proofErr w:type="spellStart"/>
      <w:r>
        <w:t>Alumn</w:t>
      </w:r>
      <w:proofErr w:type="spellEnd"/>
      <w:r>
        <w:t xml:space="preserve"> Harold </w:t>
      </w:r>
      <w:proofErr w:type="spellStart"/>
      <w:r>
        <w:t>Kotler</w:t>
      </w:r>
      <w:proofErr w:type="spellEnd"/>
      <w:r>
        <w:t xml:space="preserve">, CEO and CIO of Gannett, Welsh &amp; </w:t>
      </w:r>
      <w:proofErr w:type="spellStart"/>
      <w:r>
        <w:t>Kotler</w:t>
      </w:r>
      <w:proofErr w:type="spell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A1627"/>
    <w:multiLevelType w:val="hybridMultilevel"/>
    <w:tmpl w:val="3C2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0EB"/>
    <w:rsid w:val="000F6401"/>
    <w:rsid w:val="00110488"/>
    <w:rsid w:val="00210EBC"/>
    <w:rsid w:val="00266930"/>
    <w:rsid w:val="002D00EB"/>
    <w:rsid w:val="002D7343"/>
    <w:rsid w:val="0037139B"/>
    <w:rsid w:val="003B02D6"/>
    <w:rsid w:val="00414052"/>
    <w:rsid w:val="004D1A89"/>
    <w:rsid w:val="005104A5"/>
    <w:rsid w:val="006279AC"/>
    <w:rsid w:val="006931E3"/>
    <w:rsid w:val="0077259F"/>
    <w:rsid w:val="00801A90"/>
    <w:rsid w:val="0080538A"/>
    <w:rsid w:val="00861C78"/>
    <w:rsid w:val="00A06EAF"/>
    <w:rsid w:val="00A16A64"/>
    <w:rsid w:val="00AD1C47"/>
    <w:rsid w:val="00B12081"/>
    <w:rsid w:val="00C54D6E"/>
    <w:rsid w:val="00CF7C40"/>
    <w:rsid w:val="00DE4FC5"/>
    <w:rsid w:val="00E11724"/>
    <w:rsid w:val="00F23C74"/>
    <w:rsid w:val="00F8710B"/>
    <w:rsid w:val="00FD6AE2"/>
    <w:rsid w:val="00FF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0488"/>
    <w:rPr>
      <w:sz w:val="20"/>
      <w:szCs w:val="20"/>
    </w:rPr>
  </w:style>
  <w:style w:type="character" w:customStyle="1" w:styleId="FootnoteTextChar">
    <w:name w:val="Footnote Text Char"/>
    <w:basedOn w:val="DefaultParagraphFont"/>
    <w:link w:val="FootnoteText"/>
    <w:uiPriority w:val="99"/>
    <w:semiHidden/>
    <w:rsid w:val="00110488"/>
    <w:rPr>
      <w:sz w:val="20"/>
      <w:szCs w:val="20"/>
    </w:rPr>
  </w:style>
  <w:style w:type="character" w:styleId="FootnoteReference">
    <w:name w:val="footnote reference"/>
    <w:basedOn w:val="DefaultParagraphFont"/>
    <w:uiPriority w:val="99"/>
    <w:semiHidden/>
    <w:unhideWhenUsed/>
    <w:rsid w:val="00110488"/>
    <w:rPr>
      <w:vertAlign w:val="superscript"/>
    </w:rPr>
  </w:style>
  <w:style w:type="character" w:styleId="Hyperlink">
    <w:name w:val="Hyperlink"/>
    <w:basedOn w:val="DefaultParagraphFont"/>
    <w:uiPriority w:val="99"/>
    <w:unhideWhenUsed/>
    <w:rsid w:val="00B12081"/>
    <w:rPr>
      <w:color w:val="0000FF" w:themeColor="hyperlink"/>
      <w:u w:val="single"/>
    </w:rPr>
  </w:style>
  <w:style w:type="paragraph" w:styleId="BalloonText">
    <w:name w:val="Balloon Text"/>
    <w:basedOn w:val="Normal"/>
    <w:link w:val="BalloonTextChar"/>
    <w:uiPriority w:val="99"/>
    <w:semiHidden/>
    <w:unhideWhenUsed/>
    <w:rsid w:val="006931E3"/>
    <w:rPr>
      <w:rFonts w:ascii="Tahoma" w:hAnsi="Tahoma" w:cs="Tahoma"/>
      <w:sz w:val="16"/>
      <w:szCs w:val="16"/>
    </w:rPr>
  </w:style>
  <w:style w:type="character" w:customStyle="1" w:styleId="BalloonTextChar">
    <w:name w:val="Balloon Text Char"/>
    <w:basedOn w:val="DefaultParagraphFont"/>
    <w:link w:val="BalloonText"/>
    <w:uiPriority w:val="99"/>
    <w:semiHidden/>
    <w:rsid w:val="006931E3"/>
    <w:rPr>
      <w:rFonts w:ascii="Tahoma" w:hAnsi="Tahoma" w:cs="Tahoma"/>
      <w:sz w:val="16"/>
      <w:szCs w:val="16"/>
    </w:rPr>
  </w:style>
  <w:style w:type="paragraph" w:styleId="Header">
    <w:name w:val="header"/>
    <w:basedOn w:val="Normal"/>
    <w:link w:val="HeaderChar"/>
    <w:uiPriority w:val="99"/>
    <w:unhideWhenUsed/>
    <w:rsid w:val="00A06EAF"/>
    <w:pPr>
      <w:tabs>
        <w:tab w:val="center" w:pos="4680"/>
        <w:tab w:val="right" w:pos="9360"/>
      </w:tabs>
    </w:pPr>
  </w:style>
  <w:style w:type="character" w:customStyle="1" w:styleId="HeaderChar">
    <w:name w:val="Header Char"/>
    <w:basedOn w:val="DefaultParagraphFont"/>
    <w:link w:val="Header"/>
    <w:uiPriority w:val="99"/>
    <w:rsid w:val="00A06EAF"/>
  </w:style>
  <w:style w:type="paragraph" w:styleId="Footer">
    <w:name w:val="footer"/>
    <w:basedOn w:val="Normal"/>
    <w:link w:val="FooterChar"/>
    <w:uiPriority w:val="99"/>
    <w:unhideWhenUsed/>
    <w:rsid w:val="00A06EAF"/>
    <w:pPr>
      <w:tabs>
        <w:tab w:val="center" w:pos="4680"/>
        <w:tab w:val="right" w:pos="9360"/>
      </w:tabs>
    </w:pPr>
  </w:style>
  <w:style w:type="character" w:customStyle="1" w:styleId="FooterChar">
    <w:name w:val="Footer Char"/>
    <w:basedOn w:val="DefaultParagraphFont"/>
    <w:link w:val="Footer"/>
    <w:uiPriority w:val="99"/>
    <w:rsid w:val="00A06EAF"/>
  </w:style>
  <w:style w:type="paragraph" w:styleId="ListParagraph">
    <w:name w:val="List Paragraph"/>
    <w:basedOn w:val="Normal"/>
    <w:uiPriority w:val="34"/>
    <w:qFormat/>
    <w:rsid w:val="00FF5BC5"/>
    <w:pPr>
      <w:ind w:left="720"/>
      <w:contextualSpacing/>
    </w:pPr>
    <w:rPr>
      <w:rFonts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0488"/>
    <w:rPr>
      <w:sz w:val="20"/>
      <w:szCs w:val="20"/>
    </w:rPr>
  </w:style>
  <w:style w:type="character" w:customStyle="1" w:styleId="FootnoteTextChar">
    <w:name w:val="Footnote Text Char"/>
    <w:basedOn w:val="DefaultParagraphFont"/>
    <w:link w:val="FootnoteText"/>
    <w:uiPriority w:val="99"/>
    <w:semiHidden/>
    <w:rsid w:val="00110488"/>
    <w:rPr>
      <w:sz w:val="20"/>
      <w:szCs w:val="20"/>
    </w:rPr>
  </w:style>
  <w:style w:type="character" w:styleId="FootnoteReference">
    <w:name w:val="footnote reference"/>
    <w:basedOn w:val="DefaultParagraphFont"/>
    <w:uiPriority w:val="99"/>
    <w:semiHidden/>
    <w:unhideWhenUsed/>
    <w:rsid w:val="00110488"/>
    <w:rPr>
      <w:vertAlign w:val="superscript"/>
    </w:rPr>
  </w:style>
  <w:style w:type="character" w:styleId="Hyperlink">
    <w:name w:val="Hyperlink"/>
    <w:basedOn w:val="DefaultParagraphFont"/>
    <w:uiPriority w:val="99"/>
    <w:unhideWhenUsed/>
    <w:rsid w:val="00B12081"/>
    <w:rPr>
      <w:color w:val="0000FF" w:themeColor="hyperlink"/>
      <w:u w:val="single"/>
    </w:rPr>
  </w:style>
  <w:style w:type="paragraph" w:styleId="BalloonText">
    <w:name w:val="Balloon Text"/>
    <w:basedOn w:val="Normal"/>
    <w:link w:val="BalloonTextChar"/>
    <w:uiPriority w:val="99"/>
    <w:semiHidden/>
    <w:unhideWhenUsed/>
    <w:rsid w:val="006931E3"/>
    <w:rPr>
      <w:rFonts w:ascii="Tahoma" w:hAnsi="Tahoma" w:cs="Tahoma"/>
      <w:sz w:val="16"/>
      <w:szCs w:val="16"/>
    </w:rPr>
  </w:style>
  <w:style w:type="character" w:customStyle="1" w:styleId="BalloonTextChar">
    <w:name w:val="Balloon Text Char"/>
    <w:basedOn w:val="DefaultParagraphFont"/>
    <w:link w:val="BalloonText"/>
    <w:uiPriority w:val="99"/>
    <w:semiHidden/>
    <w:rsid w:val="006931E3"/>
    <w:rPr>
      <w:rFonts w:ascii="Tahoma" w:hAnsi="Tahoma" w:cs="Tahoma"/>
      <w:sz w:val="16"/>
      <w:szCs w:val="16"/>
    </w:rPr>
  </w:style>
  <w:style w:type="paragraph" w:styleId="Header">
    <w:name w:val="header"/>
    <w:basedOn w:val="Normal"/>
    <w:link w:val="HeaderChar"/>
    <w:uiPriority w:val="99"/>
    <w:unhideWhenUsed/>
    <w:rsid w:val="00A06EAF"/>
    <w:pPr>
      <w:tabs>
        <w:tab w:val="center" w:pos="4680"/>
        <w:tab w:val="right" w:pos="9360"/>
      </w:tabs>
    </w:pPr>
  </w:style>
  <w:style w:type="character" w:customStyle="1" w:styleId="HeaderChar">
    <w:name w:val="Header Char"/>
    <w:basedOn w:val="DefaultParagraphFont"/>
    <w:link w:val="Header"/>
    <w:uiPriority w:val="99"/>
    <w:rsid w:val="00A06EAF"/>
  </w:style>
  <w:style w:type="paragraph" w:styleId="Footer">
    <w:name w:val="footer"/>
    <w:basedOn w:val="Normal"/>
    <w:link w:val="FooterChar"/>
    <w:uiPriority w:val="99"/>
    <w:unhideWhenUsed/>
    <w:rsid w:val="00A06EAF"/>
    <w:pPr>
      <w:tabs>
        <w:tab w:val="center" w:pos="4680"/>
        <w:tab w:val="right" w:pos="9360"/>
      </w:tabs>
    </w:pPr>
  </w:style>
  <w:style w:type="character" w:customStyle="1" w:styleId="FooterChar">
    <w:name w:val="Footer Char"/>
    <w:basedOn w:val="DefaultParagraphFont"/>
    <w:link w:val="Footer"/>
    <w:uiPriority w:val="99"/>
    <w:rsid w:val="00A06EAF"/>
  </w:style>
  <w:style w:type="paragraph" w:styleId="ListParagraph">
    <w:name w:val="List Paragraph"/>
    <w:basedOn w:val="Normal"/>
    <w:uiPriority w:val="34"/>
    <w:qFormat/>
    <w:rsid w:val="00FF5BC5"/>
    <w:pPr>
      <w:ind w:left="720"/>
      <w:contextualSpacing/>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3E33D-458B-4593-A622-323BA161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3</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2013-10-23T21:19:00Z</cp:lastPrinted>
  <dcterms:created xsi:type="dcterms:W3CDTF">2013-09-30T22:58:00Z</dcterms:created>
  <dcterms:modified xsi:type="dcterms:W3CDTF">2013-10-24T18:22:00Z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