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C71" w:rsidRPr="00AC5496" w:rsidRDefault="00AE101D" w:rsidP="00AC5496">
      <w:pPr>
        <w:jc w:val="center"/>
        <w:rPr>
          <w:b/>
          <w:caps/>
        </w:rPr>
      </w:pPr>
      <w:r w:rsidRPr="00AC5496">
        <w:rPr>
          <w:b/>
          <w:caps/>
        </w:rPr>
        <w:t xml:space="preserve">Fixed Income </w:t>
      </w:r>
      <w:r w:rsidR="00E60754">
        <w:rPr>
          <w:b/>
          <w:caps/>
        </w:rPr>
        <w:t>INVESTMENTS</w:t>
      </w:r>
    </w:p>
    <w:p w:rsidR="00AE101D" w:rsidRDefault="00AE101D">
      <w:pPr>
        <w:rPr>
          <w:b/>
        </w:rPr>
      </w:pPr>
    </w:p>
    <w:p w:rsidR="00AB3388" w:rsidRDefault="00AB3388" w:rsidP="00AB3388">
      <w:pPr>
        <w:jc w:val="both"/>
      </w:pPr>
      <w:r>
        <w:t>“Fixed Income” investments (</w:t>
      </w:r>
      <w:r w:rsidRPr="00AB3388">
        <w:t>generally</w:t>
      </w:r>
      <w:r>
        <w:t>)</w:t>
      </w:r>
      <w:r w:rsidRPr="00AB3388">
        <w:t xml:space="preserve"> </w:t>
      </w:r>
      <w:r>
        <w:t>make payments</w:t>
      </w:r>
      <w:r w:rsidRPr="00AB3388">
        <w:t xml:space="preserve"> on a fixed schedule, </w:t>
      </w:r>
      <w:r>
        <w:t>b</w:t>
      </w:r>
      <w:r w:rsidRPr="00AB3388">
        <w:t xml:space="preserve">onds </w:t>
      </w:r>
      <w:r>
        <w:t>are</w:t>
      </w:r>
      <w:r w:rsidRPr="00AB3388">
        <w:t xml:space="preserve"> the best known fixed income securit</w:t>
      </w:r>
      <w:r>
        <w:t>ies</w:t>
      </w:r>
      <w:r w:rsidRPr="00AB3388">
        <w:t>, but the term also includes mutual funds that invest in bonds,</w:t>
      </w:r>
      <w:r>
        <w:t xml:space="preserve"> fixed income exchange traded funds (ETFs),</w:t>
      </w:r>
      <w:r w:rsidRPr="00AB3388">
        <w:t xml:space="preserve"> CDs, money market funds, and fixed income annuities</w:t>
      </w:r>
      <w:r>
        <w:t>.</w:t>
      </w:r>
      <w:r>
        <w:rPr>
          <w:rStyle w:val="FootnoteReference"/>
        </w:rPr>
        <w:footnoteReference w:id="1"/>
      </w:r>
    </w:p>
    <w:p w:rsidR="00AB3388" w:rsidRDefault="00AB3388" w:rsidP="00AB3388">
      <w:pPr>
        <w:jc w:val="both"/>
      </w:pPr>
    </w:p>
    <w:p w:rsidR="00AB3388" w:rsidRDefault="00AB3388" w:rsidP="00AB3388">
      <w:pPr>
        <w:jc w:val="both"/>
      </w:pPr>
      <w:r>
        <w:t xml:space="preserve">This note will focus on </w:t>
      </w:r>
      <w:r w:rsidRPr="00AB3388">
        <w:rPr>
          <w:i/>
        </w:rPr>
        <w:t>individual bonds</w:t>
      </w:r>
      <w:r w:rsidRPr="00AB3388">
        <w:t xml:space="preserve"> (treasury, agency, municipal, corporate, high yield)</w:t>
      </w:r>
      <w:r w:rsidR="009D76CF">
        <w:t xml:space="preserve">; </w:t>
      </w:r>
      <w:r w:rsidRPr="00AB3388">
        <w:rPr>
          <w:i/>
        </w:rPr>
        <w:t>bond mutual funds</w:t>
      </w:r>
      <w:r w:rsidR="009D76CF">
        <w:rPr>
          <w:i/>
        </w:rPr>
        <w:t xml:space="preserve"> </w:t>
      </w:r>
      <w:r w:rsidR="009D76CF" w:rsidRPr="009D76CF">
        <w:t>and</w:t>
      </w:r>
      <w:r w:rsidR="009D76CF">
        <w:rPr>
          <w:i/>
        </w:rPr>
        <w:t xml:space="preserve"> ETFs</w:t>
      </w:r>
      <w:r w:rsidRPr="00AB3388">
        <w:t xml:space="preserve"> (investment grade, municipal, high yie</w:t>
      </w:r>
      <w:r>
        <w:t xml:space="preserve">ld, </w:t>
      </w:r>
      <w:proofErr w:type="spellStart"/>
      <w:r>
        <w:t>multisector</w:t>
      </w:r>
      <w:proofErr w:type="spellEnd"/>
      <w:r>
        <w:t>, international).</w:t>
      </w:r>
    </w:p>
    <w:p w:rsidR="00AB3388" w:rsidRDefault="00AB3388" w:rsidP="00AB3388">
      <w:pPr>
        <w:jc w:val="both"/>
      </w:pPr>
    </w:p>
    <w:p w:rsidR="00AB3388" w:rsidRDefault="003319A5" w:rsidP="00AB3388">
      <w:pPr>
        <w:jc w:val="both"/>
      </w:pPr>
      <w:r>
        <w:t>Exhibit 1: Major Credit Rating Companies</w:t>
      </w:r>
    </w:p>
    <w:tbl>
      <w:tblPr>
        <w:tblW w:w="88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60"/>
        <w:gridCol w:w="2960"/>
        <w:gridCol w:w="2960"/>
      </w:tblGrid>
      <w:tr w:rsidR="00AB3388" w:rsidRPr="00AB3388" w:rsidTr="00AB3388">
        <w:trPr>
          <w:trHeight w:val="23"/>
        </w:trPr>
        <w:tc>
          <w:tcPr>
            <w:tcW w:w="2960" w:type="dxa"/>
            <w:tcBorders>
              <w:top w:val="single" w:sz="4" w:space="0" w:color="auto"/>
              <w:left w:val="nil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4E39C6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sz w:val="22"/>
              </w:rPr>
              <w:t> 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4E39C6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b/>
                <w:bCs/>
                <w:sz w:val="22"/>
              </w:rPr>
              <w:t>Moody's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8" w:space="0" w:color="003366"/>
              <w:bottom w:val="single" w:sz="8" w:space="0" w:color="00336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4E39C6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b/>
                <w:bCs/>
                <w:sz w:val="22"/>
              </w:rPr>
              <w:t>S &amp; P / Fitch</w:t>
            </w:r>
          </w:p>
        </w:tc>
      </w:tr>
      <w:tr w:rsidR="00AB3388" w:rsidRPr="00AB3388" w:rsidTr="00AB3388">
        <w:trPr>
          <w:trHeight w:val="18"/>
        </w:trPr>
        <w:tc>
          <w:tcPr>
            <w:tcW w:w="2960" w:type="dxa"/>
            <w:tcBorders>
              <w:top w:val="single" w:sz="8" w:space="0" w:color="003366"/>
              <w:left w:val="nil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9C6" w:rsidRPr="00AB3388" w:rsidRDefault="00AB3388" w:rsidP="00AB3388">
            <w:pPr>
              <w:jc w:val="center"/>
              <w:rPr>
                <w:sz w:val="22"/>
              </w:rPr>
            </w:pPr>
            <w:r w:rsidRPr="00AB3388">
              <w:rPr>
                <w:sz w:val="22"/>
              </w:rPr>
              <w:t>Investment Grade Ratings</w:t>
            </w:r>
          </w:p>
        </w:tc>
        <w:tc>
          <w:tcPr>
            <w:tcW w:w="296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AB3388" w:rsidRPr="00AB3388" w:rsidRDefault="00AB3388" w:rsidP="00AB3388">
            <w:pPr>
              <w:jc w:val="both"/>
              <w:rPr>
                <w:sz w:val="22"/>
              </w:rPr>
            </w:pPr>
            <w:proofErr w:type="spellStart"/>
            <w:r w:rsidRPr="00AB3388">
              <w:rPr>
                <w:sz w:val="22"/>
              </w:rPr>
              <w:t>Aaa</w:t>
            </w:r>
            <w:proofErr w:type="spellEnd"/>
          </w:p>
          <w:p w:rsidR="00AB3388" w:rsidRPr="00AB3388" w:rsidRDefault="00AB3388" w:rsidP="00AB3388">
            <w:pPr>
              <w:jc w:val="both"/>
              <w:rPr>
                <w:sz w:val="22"/>
              </w:rPr>
            </w:pPr>
            <w:proofErr w:type="spellStart"/>
            <w:r w:rsidRPr="00AB3388">
              <w:rPr>
                <w:sz w:val="22"/>
              </w:rPr>
              <w:t>Aa</w:t>
            </w:r>
            <w:proofErr w:type="spellEnd"/>
          </w:p>
          <w:p w:rsidR="00AB3388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sz w:val="22"/>
              </w:rPr>
              <w:t>A</w:t>
            </w:r>
          </w:p>
          <w:p w:rsidR="004E39C6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sz w:val="22"/>
              </w:rPr>
              <w:t>Baa</w:t>
            </w:r>
          </w:p>
        </w:tc>
        <w:tc>
          <w:tcPr>
            <w:tcW w:w="296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AB3388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sz w:val="22"/>
              </w:rPr>
              <w:t>AAA</w:t>
            </w:r>
          </w:p>
          <w:p w:rsidR="00AB3388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sz w:val="22"/>
              </w:rPr>
              <w:t>AA</w:t>
            </w:r>
          </w:p>
          <w:p w:rsidR="00AB3388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sz w:val="22"/>
              </w:rPr>
              <w:t>A</w:t>
            </w:r>
          </w:p>
          <w:p w:rsidR="004E39C6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sz w:val="22"/>
              </w:rPr>
              <w:t>BBB</w:t>
            </w:r>
          </w:p>
        </w:tc>
      </w:tr>
      <w:tr w:rsidR="00AB3388" w:rsidRPr="00AB3388" w:rsidTr="00AB3388">
        <w:trPr>
          <w:trHeight w:val="18"/>
        </w:trPr>
        <w:tc>
          <w:tcPr>
            <w:tcW w:w="2960" w:type="dxa"/>
            <w:tcBorders>
              <w:top w:val="single" w:sz="8" w:space="0" w:color="003366"/>
              <w:left w:val="nil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AB3388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sz w:val="22"/>
              </w:rPr>
              <w:t>Below Investment Grade</w:t>
            </w:r>
          </w:p>
          <w:p w:rsidR="00AB3388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sz w:val="22"/>
              </w:rPr>
              <w:t>("Junk Bond")</w:t>
            </w:r>
          </w:p>
          <w:p w:rsidR="004E39C6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sz w:val="22"/>
              </w:rPr>
              <w:t> </w:t>
            </w:r>
          </w:p>
        </w:tc>
        <w:tc>
          <w:tcPr>
            <w:tcW w:w="296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AB3388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sz w:val="22"/>
              </w:rPr>
              <w:t>Ba</w:t>
            </w:r>
          </w:p>
          <w:p w:rsidR="00AB3388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sz w:val="22"/>
              </w:rPr>
              <w:t>B</w:t>
            </w:r>
          </w:p>
          <w:p w:rsidR="00AB3388" w:rsidRPr="00AB3388" w:rsidRDefault="00AB3388" w:rsidP="00AB3388">
            <w:pPr>
              <w:jc w:val="both"/>
              <w:rPr>
                <w:sz w:val="22"/>
              </w:rPr>
            </w:pPr>
            <w:proofErr w:type="spellStart"/>
            <w:r w:rsidRPr="00AB3388">
              <w:rPr>
                <w:sz w:val="22"/>
              </w:rPr>
              <w:t>Caa</w:t>
            </w:r>
            <w:proofErr w:type="spellEnd"/>
          </w:p>
          <w:p w:rsidR="00AB3388" w:rsidRPr="00AB3388" w:rsidRDefault="00AB3388" w:rsidP="00AB3388">
            <w:pPr>
              <w:jc w:val="both"/>
              <w:rPr>
                <w:sz w:val="22"/>
              </w:rPr>
            </w:pPr>
            <w:proofErr w:type="spellStart"/>
            <w:r w:rsidRPr="00AB3388">
              <w:rPr>
                <w:sz w:val="22"/>
              </w:rPr>
              <w:t>Ca</w:t>
            </w:r>
            <w:proofErr w:type="spellEnd"/>
          </w:p>
          <w:p w:rsidR="004E39C6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sz w:val="22"/>
              </w:rPr>
              <w:t>C</w:t>
            </w:r>
          </w:p>
        </w:tc>
        <w:tc>
          <w:tcPr>
            <w:tcW w:w="2960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AB3388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sz w:val="22"/>
              </w:rPr>
              <w:t>BB</w:t>
            </w:r>
          </w:p>
          <w:p w:rsidR="00AB3388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sz w:val="22"/>
              </w:rPr>
              <w:t>B</w:t>
            </w:r>
          </w:p>
          <w:p w:rsidR="00AB3388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sz w:val="22"/>
              </w:rPr>
              <w:t>CCC</w:t>
            </w:r>
          </w:p>
          <w:p w:rsidR="00AB3388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sz w:val="22"/>
              </w:rPr>
              <w:t>CC</w:t>
            </w:r>
          </w:p>
          <w:p w:rsidR="004E39C6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sz w:val="22"/>
              </w:rPr>
              <w:t>C</w:t>
            </w:r>
          </w:p>
        </w:tc>
      </w:tr>
      <w:tr w:rsidR="00AB3388" w:rsidRPr="00AB3388" w:rsidTr="00AB3388">
        <w:trPr>
          <w:trHeight w:val="18"/>
        </w:trPr>
        <w:tc>
          <w:tcPr>
            <w:tcW w:w="2960" w:type="dxa"/>
            <w:tcBorders>
              <w:top w:val="single" w:sz="8" w:space="0" w:color="003366"/>
              <w:left w:val="nil"/>
              <w:bottom w:val="single" w:sz="4" w:space="0" w:color="auto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4E39C6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sz w:val="22"/>
              </w:rPr>
              <w:t>In Default</w:t>
            </w:r>
          </w:p>
        </w:tc>
        <w:tc>
          <w:tcPr>
            <w:tcW w:w="2960" w:type="dxa"/>
            <w:tcBorders>
              <w:top w:val="single" w:sz="8" w:space="0" w:color="003366"/>
              <w:left w:val="single" w:sz="8" w:space="0" w:color="003366"/>
              <w:bottom w:val="single" w:sz="4" w:space="0" w:color="auto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4E39C6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sz w:val="22"/>
              </w:rPr>
              <w:t> </w:t>
            </w:r>
          </w:p>
        </w:tc>
        <w:tc>
          <w:tcPr>
            <w:tcW w:w="2960" w:type="dxa"/>
            <w:tcBorders>
              <w:top w:val="single" w:sz="8" w:space="0" w:color="003366"/>
              <w:left w:val="single" w:sz="8" w:space="0" w:color="003366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4E39C6" w:rsidRPr="00AB3388" w:rsidRDefault="00AB3388" w:rsidP="00AB3388">
            <w:pPr>
              <w:jc w:val="both"/>
              <w:rPr>
                <w:sz w:val="22"/>
              </w:rPr>
            </w:pPr>
            <w:r w:rsidRPr="00AB3388">
              <w:rPr>
                <w:sz w:val="22"/>
              </w:rPr>
              <w:t>D</w:t>
            </w:r>
          </w:p>
        </w:tc>
      </w:tr>
    </w:tbl>
    <w:p w:rsidR="00AB3388" w:rsidRDefault="00AB3388" w:rsidP="00AB3388">
      <w:pPr>
        <w:jc w:val="both"/>
      </w:pPr>
    </w:p>
    <w:p w:rsidR="003319A5" w:rsidRDefault="003319A5" w:rsidP="00AB3388">
      <w:pPr>
        <w:jc w:val="both"/>
      </w:pPr>
      <w:r w:rsidRPr="003319A5">
        <w:rPr>
          <w:i/>
        </w:rPr>
        <w:t>Note</w:t>
      </w:r>
      <w:r>
        <w:t>: Few companies are rated AAA.  As of 2011 XOM, MSFT, JNJ and ADP all had AAA ratings.</w:t>
      </w:r>
    </w:p>
    <w:p w:rsidR="003319A5" w:rsidRDefault="003319A5" w:rsidP="00AB3388">
      <w:pPr>
        <w:jc w:val="both"/>
      </w:pPr>
    </w:p>
    <w:p w:rsidR="003319A5" w:rsidRPr="003319A5" w:rsidRDefault="003319A5" w:rsidP="00AB3388">
      <w:pPr>
        <w:jc w:val="both"/>
        <w:rPr>
          <w:i/>
        </w:rPr>
      </w:pPr>
      <w:r w:rsidRPr="003319A5">
        <w:rPr>
          <w:i/>
        </w:rPr>
        <w:t>Example: Calculating Bond Price</w:t>
      </w:r>
      <w:r>
        <w:rPr>
          <w:rStyle w:val="FootnoteReference"/>
          <w:i/>
        </w:rPr>
        <w:footnoteReference w:id="2"/>
      </w:r>
    </w:p>
    <w:p w:rsidR="003319A5" w:rsidRDefault="003319A5" w:rsidP="00AB3388">
      <w:pPr>
        <w:jc w:val="both"/>
      </w:pPr>
      <w:r w:rsidRPr="003319A5">
        <w:t>Consider a $1,000 face value bond maturing in 20 periods with coupon rate of 4.00% per period. The yield to maturity of the bond is 6.00% per period. The price of the bond is $770.60</w:t>
      </w:r>
      <w:r>
        <w:t>.</w:t>
      </w:r>
    </w:p>
    <w:p w:rsidR="003319A5" w:rsidRDefault="003319A5" w:rsidP="00AB3388">
      <w:pPr>
        <w:jc w:val="both"/>
      </w:pPr>
    </w:p>
    <w:p w:rsidR="003319A5" w:rsidRDefault="003319A5" w:rsidP="00AB3388">
      <w:pPr>
        <w:jc w:val="both"/>
      </w:pPr>
      <w:r w:rsidRPr="003319A5">
        <w:rPr>
          <w:noProof/>
        </w:rPr>
        <w:drawing>
          <wp:inline distT="0" distB="0" distL="0" distR="0" wp14:anchorId="24873A58" wp14:editId="72D604BA">
            <wp:extent cx="3933825" cy="1140747"/>
            <wp:effectExtent l="0" t="0" r="0" b="2540"/>
            <wp:docPr id="481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54" t="42328" r="32777" b="44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076" cy="114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319A5" w:rsidRDefault="003319A5" w:rsidP="003319A5">
      <w:pPr>
        <w:jc w:val="both"/>
        <w:rPr>
          <w:rFonts w:cs="Times New Roman"/>
        </w:rPr>
      </w:pPr>
      <w:r>
        <w:t xml:space="preserve">You can use the cash flow function on your financial calculator to solve for the price.  CF0 = 0; CF1 = 40; F1=20; CF2 = 1000; CPT NPV; I/Y = 6; </w:t>
      </w:r>
      <w:r>
        <w:rPr>
          <w:rFonts w:cs="Times New Roman"/>
          <w:b/>
        </w:rPr>
        <w:t xml:space="preserve">↓; </w:t>
      </w:r>
      <w:r>
        <w:rPr>
          <w:rFonts w:cs="Times New Roman"/>
        </w:rPr>
        <w:t>ENTER; CPT</w:t>
      </w:r>
    </w:p>
    <w:p w:rsidR="003319A5" w:rsidRDefault="003319A5" w:rsidP="003319A5">
      <w:pPr>
        <w:jc w:val="both"/>
        <w:rPr>
          <w:rFonts w:cs="Times New Roman"/>
        </w:rPr>
      </w:pPr>
    </w:p>
    <w:p w:rsidR="003319A5" w:rsidRDefault="003319A5" w:rsidP="003319A5">
      <w:pPr>
        <w:jc w:val="both"/>
        <w:rPr>
          <w:rFonts w:cs="Times New Roman"/>
        </w:rPr>
      </w:pPr>
    </w:p>
    <w:p w:rsidR="003319A5" w:rsidRDefault="003319A5" w:rsidP="003319A5">
      <w:pPr>
        <w:jc w:val="both"/>
        <w:rPr>
          <w:rFonts w:cs="Times New Roman"/>
        </w:rPr>
      </w:pPr>
      <w:r w:rsidRPr="003319A5">
        <w:rPr>
          <w:rFonts w:cs="Times New Roman"/>
        </w:rPr>
        <w:lastRenderedPageBreak/>
        <w:t>If the bond's yield to maturity were to go to 6.01%, its price would become $769.64</w:t>
      </w:r>
      <w:r>
        <w:rPr>
          <w:rFonts w:cs="Times New Roman"/>
        </w:rPr>
        <w:t>.</w:t>
      </w:r>
    </w:p>
    <w:p w:rsidR="003319A5" w:rsidRDefault="003319A5" w:rsidP="003319A5">
      <w:pPr>
        <w:jc w:val="both"/>
        <w:rPr>
          <w:rFonts w:cs="Times New Roman"/>
        </w:rPr>
      </w:pPr>
    </w:p>
    <w:p w:rsidR="003319A5" w:rsidRDefault="003319A5" w:rsidP="003319A5">
      <w:pPr>
        <w:jc w:val="both"/>
        <w:rPr>
          <w:rFonts w:cs="Times New Roman"/>
        </w:rPr>
      </w:pPr>
      <w:r w:rsidRPr="003319A5">
        <w:rPr>
          <w:rFonts w:cs="Times New Roman"/>
          <w:noProof/>
        </w:rPr>
        <w:drawing>
          <wp:inline distT="0" distB="0" distL="0" distR="0" wp14:anchorId="569EAEB4" wp14:editId="20A11B84">
            <wp:extent cx="4086225" cy="1299038"/>
            <wp:effectExtent l="0" t="0" r="0" b="0"/>
            <wp:docPr id="491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4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47" t="27766" r="33334" b="58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115" cy="13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319A5" w:rsidRDefault="003319A5" w:rsidP="003319A5">
      <w:pPr>
        <w:jc w:val="both"/>
      </w:pPr>
    </w:p>
    <w:p w:rsidR="003319A5" w:rsidRDefault="003319A5" w:rsidP="003319A5">
      <w:pPr>
        <w:jc w:val="both"/>
      </w:pPr>
      <w:proofErr w:type="gramStart"/>
      <w:r w:rsidRPr="003319A5">
        <w:t>which</w:t>
      </w:r>
      <w:proofErr w:type="gramEnd"/>
      <w:r w:rsidRPr="003319A5">
        <w:t xml:space="preserve"> represents a change of –0.12%.</w:t>
      </w:r>
    </w:p>
    <w:p w:rsidR="003319A5" w:rsidRDefault="003319A5" w:rsidP="003319A5">
      <w:pPr>
        <w:jc w:val="both"/>
      </w:pPr>
    </w:p>
    <w:p w:rsidR="003319A5" w:rsidRDefault="003319A5" w:rsidP="003319A5">
      <w:pPr>
        <w:jc w:val="both"/>
      </w:pPr>
      <w:r w:rsidRPr="003319A5">
        <w:rPr>
          <w:noProof/>
        </w:rPr>
        <w:drawing>
          <wp:inline distT="0" distB="0" distL="0" distR="0" wp14:anchorId="1829CEF3" wp14:editId="16F50C08">
            <wp:extent cx="2190750" cy="485229"/>
            <wp:effectExtent l="0" t="0" r="0" b="0"/>
            <wp:docPr id="491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5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91" t="42677" r="39842" b="51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48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319A5" w:rsidRDefault="003319A5" w:rsidP="003319A5">
      <w:pPr>
        <w:jc w:val="both"/>
      </w:pPr>
    </w:p>
    <w:p w:rsidR="003319A5" w:rsidRDefault="003319A5" w:rsidP="003319A5">
      <w:pPr>
        <w:jc w:val="both"/>
      </w:pPr>
      <w:r w:rsidRPr="003319A5">
        <w:t>The following table shows the change in the prices of bonds of various lengths as the bond's yield to maturity goes from 6.00% to 6.01%:</w:t>
      </w:r>
    </w:p>
    <w:p w:rsidR="003319A5" w:rsidRDefault="003319A5" w:rsidP="003319A5">
      <w:pPr>
        <w:jc w:val="both"/>
      </w:pPr>
    </w:p>
    <w:p w:rsidR="003319A5" w:rsidRDefault="003319A5" w:rsidP="003319A5">
      <w:pPr>
        <w:jc w:val="both"/>
      </w:pPr>
      <w:r w:rsidRPr="003319A5">
        <w:rPr>
          <w:noProof/>
        </w:rPr>
        <w:drawing>
          <wp:inline distT="0" distB="0" distL="0" distR="0" wp14:anchorId="643DD1E6" wp14:editId="32AA6150">
            <wp:extent cx="2675744" cy="1733550"/>
            <wp:effectExtent l="0" t="0" r="0" b="0"/>
            <wp:docPr id="501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8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57" t="53503" r="38518" b="27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122" cy="173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319A5" w:rsidRDefault="003319A5" w:rsidP="003319A5">
      <w:pPr>
        <w:jc w:val="both"/>
      </w:pPr>
    </w:p>
    <w:p w:rsidR="003319A5" w:rsidRDefault="00C51AD2" w:rsidP="003319A5">
      <w:pPr>
        <w:jc w:val="both"/>
      </w:pPr>
      <w:r>
        <w:t>The</w:t>
      </w:r>
      <w:r w:rsidR="003319A5">
        <w:t xml:space="preserve"> table </w:t>
      </w:r>
      <w:r>
        <w:t xml:space="preserve">above </w:t>
      </w:r>
      <w:r w:rsidR="003319A5">
        <w:t>confirms the intuition that the longer the bond's maturity, the greater the sensitivity of its price to interest rate change</w:t>
      </w:r>
      <w:r>
        <w:t>s</w:t>
      </w:r>
      <w:r w:rsidR="003319A5">
        <w:t>.</w:t>
      </w:r>
      <w:r w:rsidR="003319A5">
        <w:rPr>
          <w:rStyle w:val="FootnoteReference"/>
        </w:rPr>
        <w:footnoteReference w:id="3"/>
      </w:r>
    </w:p>
    <w:p w:rsidR="003319A5" w:rsidRDefault="003319A5" w:rsidP="003319A5">
      <w:pPr>
        <w:jc w:val="both"/>
      </w:pPr>
    </w:p>
    <w:p w:rsidR="00C51AD2" w:rsidRDefault="00C51AD2" w:rsidP="00C51AD2">
      <w:pPr>
        <w:jc w:val="both"/>
      </w:pPr>
      <w:r>
        <w:t xml:space="preserve">Other things being the same, bonds with higher yield to maturity have </w:t>
      </w:r>
      <w:proofErr w:type="gramStart"/>
      <w:r>
        <w:t>a lower</w:t>
      </w:r>
      <w:proofErr w:type="gramEnd"/>
      <w:r>
        <w:t xml:space="preserve"> interest rate sensitivity. The following table shows the effect of the bond's yield to maturity.</w:t>
      </w:r>
    </w:p>
    <w:p w:rsidR="00C51AD2" w:rsidRDefault="00C51AD2" w:rsidP="003319A5">
      <w:pPr>
        <w:jc w:val="both"/>
      </w:pPr>
    </w:p>
    <w:p w:rsidR="003319A5" w:rsidRDefault="00C51AD2" w:rsidP="003319A5">
      <w:pPr>
        <w:jc w:val="both"/>
      </w:pPr>
      <w:r w:rsidRPr="00C51AD2">
        <w:rPr>
          <w:noProof/>
        </w:rPr>
        <w:drawing>
          <wp:inline distT="0" distB="0" distL="0" distR="0" wp14:anchorId="17A7E63D" wp14:editId="1F386437">
            <wp:extent cx="4467225" cy="1448507"/>
            <wp:effectExtent l="0" t="0" r="0" b="0"/>
            <wp:docPr id="522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6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02" t="37250" r="30159" b="44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597" cy="145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51AD2" w:rsidRDefault="000922F1" w:rsidP="000922F1">
      <w:pPr>
        <w:jc w:val="both"/>
      </w:pPr>
      <w:r w:rsidRPr="000922F1">
        <w:lastRenderedPageBreak/>
        <w:t xml:space="preserve">Other things being the same, a higher coupon rate bond has </w:t>
      </w:r>
      <w:proofErr w:type="gramStart"/>
      <w:r w:rsidRPr="000922F1">
        <w:t>a lower</w:t>
      </w:r>
      <w:proofErr w:type="gramEnd"/>
      <w:r w:rsidRPr="000922F1">
        <w:t xml:space="preserve"> interest rate sensitivity.</w:t>
      </w:r>
      <w:r>
        <w:t xml:space="preserve"> </w:t>
      </w:r>
      <w:r w:rsidRPr="000922F1">
        <w:t>The following table shows the effect of coupon rate.</w:t>
      </w:r>
      <w:r>
        <w:rPr>
          <w:rStyle w:val="FootnoteReference"/>
        </w:rPr>
        <w:footnoteReference w:id="4"/>
      </w:r>
    </w:p>
    <w:p w:rsidR="000922F1" w:rsidRDefault="000922F1" w:rsidP="000922F1">
      <w:pPr>
        <w:jc w:val="both"/>
      </w:pPr>
    </w:p>
    <w:p w:rsidR="000922F1" w:rsidRDefault="000922F1" w:rsidP="000922F1">
      <w:pPr>
        <w:jc w:val="both"/>
      </w:pPr>
      <w:r w:rsidRPr="000922F1">
        <w:rPr>
          <w:noProof/>
        </w:rPr>
        <w:drawing>
          <wp:inline distT="0" distB="0" distL="0" distR="0" wp14:anchorId="24724FEE" wp14:editId="50712338">
            <wp:extent cx="4686300" cy="1544576"/>
            <wp:effectExtent l="0" t="0" r="0" b="0"/>
            <wp:docPr id="512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2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99" t="33356" r="30106" b="47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54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922F1" w:rsidRDefault="000922F1">
      <w:pPr>
        <w:rPr>
          <w:b/>
        </w:rPr>
      </w:pPr>
    </w:p>
    <w:p w:rsidR="00574CD6" w:rsidRPr="00574CD6" w:rsidRDefault="00574CD6">
      <w:pPr>
        <w:rPr>
          <w:i/>
        </w:rPr>
      </w:pPr>
      <w:r w:rsidRPr="00574CD6">
        <w:rPr>
          <w:i/>
        </w:rPr>
        <w:t>Duration Basics</w:t>
      </w:r>
    </w:p>
    <w:p w:rsidR="000922F1" w:rsidRPr="000922F1" w:rsidRDefault="000922F1">
      <w:r w:rsidRPr="00574CD6">
        <w:rPr>
          <w:b/>
        </w:rPr>
        <w:t>Duration</w:t>
      </w:r>
      <w:r w:rsidRPr="000922F1">
        <w:t xml:space="preserve"> combines the bond's coupon rate, length (time to maturity), and yield to maturity to provide a single metric that measures the bond price's interest rate sensitivity.</w:t>
      </w:r>
    </w:p>
    <w:p w:rsidR="00574CD6" w:rsidRPr="00574CD6" w:rsidRDefault="00574CD6" w:rsidP="00574CD6">
      <w:pPr>
        <w:pStyle w:val="ListParagraph"/>
        <w:numPr>
          <w:ilvl w:val="0"/>
          <w:numId w:val="3"/>
        </w:numPr>
      </w:pPr>
      <w:r w:rsidRPr="00574CD6">
        <w:t>Duration of a zero-coupon bond is equal to its time to maturity.</w:t>
      </w:r>
    </w:p>
    <w:p w:rsidR="00574CD6" w:rsidRPr="00574CD6" w:rsidRDefault="00574CD6" w:rsidP="00574CD6">
      <w:pPr>
        <w:pStyle w:val="ListParagraph"/>
        <w:numPr>
          <w:ilvl w:val="0"/>
          <w:numId w:val="3"/>
        </w:numPr>
      </w:pPr>
      <w:r w:rsidRPr="00574CD6">
        <w:t>The higher the coupon rate, the lower the duration.</w:t>
      </w:r>
    </w:p>
    <w:p w:rsidR="00574CD6" w:rsidRPr="00574CD6" w:rsidRDefault="00574CD6" w:rsidP="00574CD6">
      <w:pPr>
        <w:pStyle w:val="ListParagraph"/>
        <w:numPr>
          <w:ilvl w:val="0"/>
          <w:numId w:val="3"/>
        </w:numPr>
      </w:pPr>
      <w:r w:rsidRPr="00574CD6">
        <w:t>For bonds priced at or above par, the longer the maturity, the higher the duration.</w:t>
      </w:r>
    </w:p>
    <w:p w:rsidR="00574CD6" w:rsidRPr="00574CD6" w:rsidRDefault="00574CD6" w:rsidP="00574CD6">
      <w:pPr>
        <w:pStyle w:val="ListParagraph"/>
        <w:numPr>
          <w:ilvl w:val="0"/>
          <w:numId w:val="3"/>
        </w:numPr>
      </w:pPr>
      <w:r w:rsidRPr="00574CD6">
        <w:t>The lower the yield to maturity, the higher the duration.</w:t>
      </w:r>
    </w:p>
    <w:p w:rsidR="00574CD6" w:rsidRDefault="00574CD6">
      <w:pPr>
        <w:rPr>
          <w:b/>
        </w:rPr>
      </w:pPr>
    </w:p>
    <w:p w:rsidR="00945C3F" w:rsidRDefault="00945C3F">
      <w:r w:rsidRPr="00945C3F">
        <w:rPr>
          <w:b/>
        </w:rPr>
        <w:t>Macaulay’s Duration</w:t>
      </w:r>
      <w:r w:rsidRPr="00945C3F">
        <w:t xml:space="preserve"> – the </w:t>
      </w:r>
      <w:r w:rsidR="006E4BE0">
        <w:t xml:space="preserve">“effective maturity” the </w:t>
      </w:r>
      <w:r w:rsidRPr="00945C3F">
        <w:t>weighted average of the times to each coupon or principal payment.</w:t>
      </w:r>
    </w:p>
    <w:p w:rsidR="006E4BE0" w:rsidRDefault="006E4BE0"/>
    <w:p w:rsidR="00945C3F" w:rsidRDefault="008D4F2B">
      <w:r w:rsidRPr="006E4BE0">
        <w:rPr>
          <w:position w:val="-30"/>
        </w:rPr>
        <w:object w:dxaOrig="348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pt;height:39pt" o:ole="">
            <v:imagedata r:id="rId14" o:title=""/>
          </v:shape>
          <o:OLEObject Type="Embed" ProgID="Equation.DSMT4" ShapeID="_x0000_i1025" DrawAspect="Content" ObjectID="_1441456059" r:id="rId15"/>
        </w:object>
      </w:r>
    </w:p>
    <w:p w:rsidR="000922F1" w:rsidRDefault="000922F1"/>
    <w:p w:rsidR="000922F1" w:rsidRPr="000922F1" w:rsidRDefault="000922F1" w:rsidP="000922F1">
      <w:pPr>
        <w:jc w:val="both"/>
        <w:rPr>
          <w:i/>
        </w:rPr>
      </w:pPr>
      <w:r w:rsidRPr="003319A5">
        <w:rPr>
          <w:i/>
        </w:rPr>
        <w:t xml:space="preserve">Example: Calculating </w:t>
      </w:r>
      <w:r>
        <w:rPr>
          <w:i/>
        </w:rPr>
        <w:t>Duration</w:t>
      </w:r>
      <w:r>
        <w:rPr>
          <w:rStyle w:val="FootnoteReference"/>
          <w:i/>
        </w:rPr>
        <w:footnoteReference w:id="5"/>
      </w:r>
    </w:p>
    <w:p w:rsidR="000922F1" w:rsidRDefault="000922F1">
      <w:r w:rsidRPr="000922F1">
        <w:t>Calculate the duration of a 3 year 6% bond selling at par (annual payments).</w:t>
      </w:r>
    </w:p>
    <w:p w:rsidR="000922F1" w:rsidRDefault="000922F1"/>
    <w:tbl>
      <w:tblPr>
        <w:tblW w:w="867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64"/>
        <w:gridCol w:w="1596"/>
        <w:gridCol w:w="2469"/>
        <w:gridCol w:w="1016"/>
        <w:gridCol w:w="1633"/>
      </w:tblGrid>
      <w:tr w:rsidR="000922F1" w:rsidRPr="000922F1" w:rsidTr="000922F1">
        <w:tc>
          <w:tcPr>
            <w:tcW w:w="1998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39C6" w:rsidRPr="000922F1" w:rsidRDefault="000922F1" w:rsidP="000922F1">
            <w:r w:rsidRPr="000922F1">
              <w:rPr>
                <w:b/>
                <w:bCs/>
              </w:rPr>
              <w:t>(1)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39C6" w:rsidRPr="000922F1" w:rsidRDefault="000922F1" w:rsidP="000922F1">
            <w:r w:rsidRPr="000922F1">
              <w:rPr>
                <w:b/>
                <w:bCs/>
              </w:rPr>
              <w:t>(2)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39C6" w:rsidRPr="000922F1" w:rsidRDefault="000922F1" w:rsidP="000922F1">
            <w:r w:rsidRPr="000922F1">
              <w:rPr>
                <w:b/>
                <w:bCs/>
              </w:rPr>
              <w:t>(3)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39C6" w:rsidRPr="000922F1" w:rsidRDefault="000922F1" w:rsidP="000922F1">
            <w:r w:rsidRPr="000922F1">
              <w:rPr>
                <w:b/>
                <w:bCs/>
              </w:rPr>
              <w:t>(4)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39C6" w:rsidRPr="000922F1" w:rsidRDefault="000922F1" w:rsidP="000922F1">
            <w:r w:rsidRPr="000922F1">
              <w:rPr>
                <w:b/>
                <w:bCs/>
              </w:rPr>
              <w:t>(5)</w:t>
            </w:r>
          </w:p>
        </w:tc>
      </w:tr>
      <w:tr w:rsidR="000922F1" w:rsidRPr="000922F1" w:rsidTr="000922F1">
        <w:tc>
          <w:tcPr>
            <w:tcW w:w="1998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39C6" w:rsidRPr="000922F1" w:rsidRDefault="000922F1" w:rsidP="000922F1">
            <w:r w:rsidRPr="000922F1">
              <w:rPr>
                <w:b/>
                <w:bCs/>
              </w:rPr>
              <w:t>Time until Payment (years)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39C6" w:rsidRPr="000922F1" w:rsidRDefault="000922F1" w:rsidP="000922F1">
            <w:r w:rsidRPr="000922F1">
              <w:t>Cash Flow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22F1" w:rsidRPr="000922F1" w:rsidRDefault="000922F1" w:rsidP="000922F1">
            <w:r w:rsidRPr="000922F1">
              <w:t xml:space="preserve">PV of CF </w:t>
            </w:r>
          </w:p>
          <w:p w:rsidR="004E39C6" w:rsidRPr="000922F1" w:rsidRDefault="000922F1" w:rsidP="000922F1">
            <w:r w:rsidRPr="000922F1">
              <w:t>(Discount rate = 6%)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39C6" w:rsidRPr="000922F1" w:rsidRDefault="000922F1" w:rsidP="000922F1">
            <w:r w:rsidRPr="000922F1">
              <w:t>Weight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22F1" w:rsidRPr="000922F1" w:rsidRDefault="000922F1" w:rsidP="000922F1">
            <w:r w:rsidRPr="000922F1">
              <w:t xml:space="preserve">Column (1) </w:t>
            </w:r>
          </w:p>
          <w:p w:rsidR="004E39C6" w:rsidRPr="000922F1" w:rsidRDefault="000922F1" w:rsidP="000922F1">
            <w:r w:rsidRPr="000922F1">
              <w:sym w:font="Symbol" w:char="F0B4"/>
            </w:r>
            <w:r w:rsidRPr="000922F1">
              <w:t xml:space="preserve"> Column (4)</w:t>
            </w:r>
          </w:p>
        </w:tc>
      </w:tr>
      <w:tr w:rsidR="000922F1" w:rsidRPr="000922F1" w:rsidTr="000922F1">
        <w:trPr>
          <w:trHeight w:val="320"/>
        </w:trPr>
        <w:tc>
          <w:tcPr>
            <w:tcW w:w="1998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39C6" w:rsidRPr="000922F1" w:rsidRDefault="000922F1" w:rsidP="000922F1">
            <w:r w:rsidRPr="000922F1">
              <w:rPr>
                <w:b/>
                <w:bCs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39C6" w:rsidRPr="000922F1" w:rsidRDefault="000922F1" w:rsidP="000922F1">
            <w:pPr>
              <w:jc w:val="right"/>
            </w:pPr>
            <w:r w:rsidRPr="000922F1">
              <w:tab/>
              <w:t>$60.00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39C6" w:rsidRPr="000922F1" w:rsidRDefault="000922F1" w:rsidP="000922F1">
            <w:pPr>
              <w:jc w:val="right"/>
            </w:pPr>
            <w:r w:rsidRPr="000922F1">
              <w:tab/>
              <w:t>$56.60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39C6" w:rsidRPr="000922F1" w:rsidRDefault="000922F1" w:rsidP="000922F1">
            <w:pPr>
              <w:jc w:val="right"/>
            </w:pPr>
            <w:r w:rsidRPr="000922F1">
              <w:t>0.0566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39C6" w:rsidRPr="000922F1" w:rsidRDefault="000922F1" w:rsidP="000922F1">
            <w:pPr>
              <w:jc w:val="right"/>
            </w:pPr>
            <w:r w:rsidRPr="000922F1">
              <w:t>0.0566</w:t>
            </w:r>
          </w:p>
        </w:tc>
      </w:tr>
      <w:tr w:rsidR="000922F1" w:rsidRPr="000922F1" w:rsidTr="000922F1">
        <w:tc>
          <w:tcPr>
            <w:tcW w:w="19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39C6" w:rsidRPr="000922F1" w:rsidRDefault="000922F1" w:rsidP="000922F1">
            <w:r w:rsidRPr="000922F1">
              <w:rPr>
                <w:b/>
                <w:bCs/>
              </w:rPr>
              <w:t>2</w:t>
            </w:r>
          </w:p>
        </w:tc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39C6" w:rsidRPr="000922F1" w:rsidRDefault="000922F1" w:rsidP="000922F1">
            <w:pPr>
              <w:jc w:val="right"/>
            </w:pPr>
            <w:r w:rsidRPr="000922F1">
              <w:tab/>
              <w:t>$60.00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39C6" w:rsidRPr="000922F1" w:rsidRDefault="000922F1" w:rsidP="000922F1">
            <w:pPr>
              <w:jc w:val="right"/>
            </w:pPr>
            <w:r w:rsidRPr="000922F1">
              <w:tab/>
              <w:t>$53.40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39C6" w:rsidRPr="000922F1" w:rsidRDefault="000922F1" w:rsidP="000922F1">
            <w:pPr>
              <w:jc w:val="right"/>
            </w:pPr>
            <w:r w:rsidRPr="000922F1">
              <w:t>0.0534</w:t>
            </w:r>
          </w:p>
        </w:tc>
        <w:tc>
          <w:tcPr>
            <w:tcW w:w="1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39C6" w:rsidRPr="000922F1" w:rsidRDefault="000922F1" w:rsidP="000922F1">
            <w:pPr>
              <w:jc w:val="right"/>
            </w:pPr>
            <w:r w:rsidRPr="000922F1">
              <w:t>0.1068</w:t>
            </w:r>
          </w:p>
        </w:tc>
      </w:tr>
      <w:tr w:rsidR="000922F1" w:rsidRPr="000922F1" w:rsidTr="000922F1">
        <w:tc>
          <w:tcPr>
            <w:tcW w:w="1998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39C6" w:rsidRPr="000922F1" w:rsidRDefault="000922F1" w:rsidP="000922F1">
            <w:r w:rsidRPr="000922F1">
              <w:rPr>
                <w:b/>
                <w:bCs/>
              </w:rPr>
              <w:t>3</w:t>
            </w:r>
          </w:p>
        </w:tc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39C6" w:rsidRPr="000922F1" w:rsidRDefault="000922F1" w:rsidP="000922F1">
            <w:pPr>
              <w:jc w:val="right"/>
            </w:pPr>
            <w:r w:rsidRPr="000922F1">
              <w:t>$1,060.00</w:t>
            </w:r>
          </w:p>
        </w:tc>
        <w:tc>
          <w:tcPr>
            <w:tcW w:w="250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39C6" w:rsidRPr="000922F1" w:rsidRDefault="000922F1" w:rsidP="000922F1">
            <w:pPr>
              <w:jc w:val="right"/>
            </w:pPr>
            <w:r w:rsidRPr="000922F1">
              <w:rPr>
                <w:u w:val="single"/>
              </w:rPr>
              <w:tab/>
              <w:t>$890.00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39C6" w:rsidRPr="000922F1" w:rsidRDefault="000922F1" w:rsidP="000922F1">
            <w:pPr>
              <w:jc w:val="right"/>
            </w:pPr>
            <w:r w:rsidRPr="000922F1">
              <w:rPr>
                <w:u w:val="single"/>
              </w:rPr>
              <w:t>0.8900</w:t>
            </w:r>
          </w:p>
        </w:tc>
        <w:tc>
          <w:tcPr>
            <w:tcW w:w="16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39C6" w:rsidRPr="000922F1" w:rsidRDefault="000922F1" w:rsidP="000922F1">
            <w:pPr>
              <w:jc w:val="right"/>
            </w:pPr>
            <w:r w:rsidRPr="000922F1">
              <w:rPr>
                <w:u w:val="single"/>
              </w:rPr>
              <w:t>2.6700</w:t>
            </w:r>
          </w:p>
        </w:tc>
      </w:tr>
      <w:tr w:rsidR="000922F1" w:rsidRPr="000922F1" w:rsidTr="000922F1">
        <w:trPr>
          <w:trHeight w:val="300"/>
        </w:trPr>
        <w:tc>
          <w:tcPr>
            <w:tcW w:w="3498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39C6" w:rsidRPr="000922F1" w:rsidRDefault="000922F1" w:rsidP="000922F1">
            <w:r w:rsidRPr="000922F1">
              <w:rPr>
                <w:b/>
                <w:bCs/>
              </w:rPr>
              <w:t>Column Sums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39C6" w:rsidRPr="000922F1" w:rsidRDefault="000922F1" w:rsidP="000922F1">
            <w:pPr>
              <w:jc w:val="right"/>
            </w:pPr>
            <w:r w:rsidRPr="000922F1">
              <w:t>$1,000.00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39C6" w:rsidRPr="000922F1" w:rsidRDefault="000922F1" w:rsidP="000922F1">
            <w:pPr>
              <w:jc w:val="right"/>
            </w:pPr>
            <w:r w:rsidRPr="000922F1">
              <w:t>1.0000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E39C6" w:rsidRPr="000922F1" w:rsidRDefault="000922F1" w:rsidP="000922F1">
            <w:pPr>
              <w:jc w:val="right"/>
            </w:pPr>
            <w:r w:rsidRPr="000922F1">
              <w:t>2.8334</w:t>
            </w:r>
          </w:p>
        </w:tc>
      </w:tr>
    </w:tbl>
    <w:p w:rsidR="000922F1" w:rsidRDefault="000922F1"/>
    <w:p w:rsidR="00574CD6" w:rsidRDefault="00574CD6" w:rsidP="00574CD6">
      <w:r w:rsidRPr="006E4BE0">
        <w:rPr>
          <w:b/>
        </w:rPr>
        <w:t>Modified Duration</w:t>
      </w:r>
      <w:r>
        <w:t xml:space="preserve"> – a measure of the bond’s exposure to changes in interest rates.</w:t>
      </w:r>
    </w:p>
    <w:p w:rsidR="00574CD6" w:rsidRDefault="00574CD6" w:rsidP="00574CD6">
      <w:r w:rsidRPr="006E4BE0">
        <w:rPr>
          <w:position w:val="-24"/>
        </w:rPr>
        <w:object w:dxaOrig="1800" w:dyaOrig="620">
          <v:shape id="_x0000_i1026" type="#_x0000_t75" style="width:90pt;height:30.75pt" o:ole="">
            <v:imagedata r:id="rId16" o:title=""/>
          </v:shape>
          <o:OLEObject Type="Embed" ProgID="Equation.DSMT4" ShapeID="_x0000_i1026" DrawAspect="Content" ObjectID="_1441456060" r:id="rId17"/>
        </w:object>
      </w:r>
    </w:p>
    <w:p w:rsidR="00574CD6" w:rsidRPr="003319A5" w:rsidRDefault="00574CD6" w:rsidP="00574CD6">
      <w:pPr>
        <w:jc w:val="both"/>
        <w:rPr>
          <w:i/>
        </w:rPr>
      </w:pPr>
      <w:r w:rsidRPr="003319A5">
        <w:rPr>
          <w:i/>
        </w:rPr>
        <w:lastRenderedPageBreak/>
        <w:t xml:space="preserve">Example: </w:t>
      </w:r>
      <w:r>
        <w:rPr>
          <w:i/>
        </w:rPr>
        <w:t>Duration of a Bond Portfolio</w:t>
      </w:r>
      <w:r>
        <w:rPr>
          <w:rStyle w:val="FootnoteReference"/>
          <w:i/>
        </w:rPr>
        <w:footnoteReference w:id="6"/>
      </w:r>
    </w:p>
    <w:p w:rsidR="00574CD6" w:rsidRDefault="00574CD6" w:rsidP="00574CD6"/>
    <w:p w:rsidR="00574CD6" w:rsidRPr="00574CD6" w:rsidRDefault="00574CD6" w:rsidP="00574CD6">
      <w:r w:rsidRPr="00574CD6">
        <w:t>Bond 1: 7% annual coupon, 3 years to maturity, yield to maturity of 5%, price $1,054.46.</w:t>
      </w:r>
    </w:p>
    <w:p w:rsidR="00574CD6" w:rsidRPr="00574CD6" w:rsidRDefault="00574CD6" w:rsidP="00574CD6">
      <w:r w:rsidRPr="00574CD6">
        <w:t>Bond 2: 6% annual coupon, 5 years to maturity, yield to maturity of 8%, price $920.15.</w:t>
      </w:r>
    </w:p>
    <w:p w:rsidR="00574CD6" w:rsidRPr="00574CD6" w:rsidRDefault="00574CD6" w:rsidP="00574CD6">
      <w:r w:rsidRPr="00574CD6">
        <w:t>Consider a $100,000 portfolio that invests 60% of its mone</w:t>
      </w:r>
      <w:r>
        <w:t>y in bonds 1 and 40% in bond 2; this</w:t>
      </w:r>
      <w:r w:rsidRPr="00574CD6">
        <w:t xml:space="preserve"> would work out to 59 units of bond 1 and 43.47 units of bond 2.</w:t>
      </w:r>
      <w:r>
        <w:rPr>
          <w:rStyle w:val="FootnoteReference"/>
        </w:rPr>
        <w:footnoteReference w:id="7"/>
      </w:r>
    </w:p>
    <w:p w:rsidR="00574CD6" w:rsidRDefault="00574CD6">
      <w:pPr>
        <w:rPr>
          <w:b/>
        </w:rPr>
      </w:pPr>
    </w:p>
    <w:p w:rsidR="00574CD6" w:rsidRDefault="00574CD6">
      <w:pPr>
        <w:rPr>
          <w:b/>
        </w:rPr>
      </w:pPr>
      <w:r w:rsidRPr="00574CD6">
        <w:rPr>
          <w:b/>
          <w:noProof/>
        </w:rPr>
        <w:drawing>
          <wp:inline distT="0" distB="0" distL="0" distR="0" wp14:anchorId="208462B1" wp14:editId="11CAD1D5">
            <wp:extent cx="5943600" cy="927100"/>
            <wp:effectExtent l="0" t="0" r="0" b="6350"/>
            <wp:docPr id="583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08" t="47408" r="26456" b="41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025" cy="93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74CD6" w:rsidRPr="00574CD6" w:rsidRDefault="00574CD6">
      <w:r w:rsidRPr="00574CD6">
        <w:t>Step 1: solve for the portfolio yield:</w:t>
      </w:r>
    </w:p>
    <w:p w:rsidR="00574CD6" w:rsidRDefault="00574CD6">
      <w:pPr>
        <w:rPr>
          <w:b/>
        </w:rPr>
      </w:pPr>
      <w:r w:rsidRPr="00574CD6">
        <w:rPr>
          <w:b/>
          <w:noProof/>
        </w:rPr>
        <w:drawing>
          <wp:inline distT="0" distB="0" distL="0" distR="0" wp14:anchorId="18B6D222" wp14:editId="38A820B1">
            <wp:extent cx="5943600" cy="734060"/>
            <wp:effectExtent l="0" t="0" r="0" b="8890"/>
            <wp:docPr id="593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4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46" t="61800" r="26456" b="29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74CD6" w:rsidRDefault="00574CD6">
      <w:pPr>
        <w:rPr>
          <w:b/>
        </w:rPr>
      </w:pPr>
    </w:p>
    <w:p w:rsidR="00574CD6" w:rsidRPr="00574CD6" w:rsidRDefault="00574CD6">
      <w:r w:rsidRPr="00574CD6">
        <w:t>Step 2: calculate portfolio duration</w:t>
      </w:r>
    </w:p>
    <w:p w:rsidR="00574CD6" w:rsidRDefault="00574CD6">
      <w:pPr>
        <w:rPr>
          <w:b/>
        </w:rPr>
      </w:pPr>
      <w:r w:rsidRPr="00574CD6">
        <w:rPr>
          <w:b/>
          <w:noProof/>
        </w:rPr>
        <w:drawing>
          <wp:inline distT="0" distB="0" distL="0" distR="0" wp14:anchorId="6FD87D00" wp14:editId="5F4049A8">
            <wp:extent cx="5943600" cy="1042670"/>
            <wp:effectExtent l="0" t="0" r="0" b="5080"/>
            <wp:docPr id="593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5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73" t="73154" r="24496" b="13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74CD6" w:rsidRDefault="00574CD6">
      <w:pPr>
        <w:rPr>
          <w:b/>
        </w:rPr>
      </w:pPr>
    </w:p>
    <w:p w:rsidR="008D4F2B" w:rsidRDefault="008D4F2B">
      <w:r w:rsidRPr="008D4F2B">
        <w:rPr>
          <w:b/>
        </w:rPr>
        <w:t>Convexity</w:t>
      </w:r>
      <w:r>
        <w:t xml:space="preserve"> – the rate of change of the slope of the price-yield curve, expressed as a fraction of the bond price (the curvature of the price-yield curve). </w:t>
      </w:r>
    </w:p>
    <w:p w:rsidR="008D4F2B" w:rsidRDefault="008D4F2B">
      <w:r w:rsidRPr="008D4F2B">
        <w:rPr>
          <w:position w:val="-36"/>
        </w:rPr>
        <w:object w:dxaOrig="5040" w:dyaOrig="840">
          <v:shape id="_x0000_i1027" type="#_x0000_t75" style="width:252pt;height:42pt" o:ole="">
            <v:imagedata r:id="rId21" o:title=""/>
          </v:shape>
          <o:OLEObject Type="Embed" ProgID="Equation.DSMT4" ShapeID="_x0000_i1027" DrawAspect="Content" ObjectID="_1441456061" r:id="rId22"/>
        </w:object>
      </w:r>
    </w:p>
    <w:p w:rsidR="008D4F2B" w:rsidRDefault="008D4F2B"/>
    <w:p w:rsidR="008D4F2B" w:rsidRDefault="008D4F2B">
      <w:r w:rsidRPr="00574CD6">
        <w:rPr>
          <w:i/>
        </w:rPr>
        <w:t>Notes</w:t>
      </w:r>
      <w:r>
        <w:t>: Convexity is generally considered a desirable trait.  Bonds with greater curvature gain more in price when yields fall than they lose when yields rise.</w:t>
      </w:r>
    </w:p>
    <w:p w:rsidR="009061B9" w:rsidRDefault="009061B9"/>
    <w:p w:rsidR="00574CD6" w:rsidRDefault="00574CD6"/>
    <w:p w:rsidR="009D76CF" w:rsidRDefault="009D76CF"/>
    <w:p w:rsidR="009D76CF" w:rsidRDefault="009D76CF"/>
    <w:p w:rsidR="009D76CF" w:rsidRDefault="009D76CF"/>
    <w:p w:rsidR="009D76CF" w:rsidRDefault="009D76CF"/>
    <w:p w:rsidR="009D76CF" w:rsidRDefault="009D76CF"/>
    <w:p w:rsidR="009D76CF" w:rsidRDefault="009D76CF"/>
    <w:p w:rsidR="009D76CF" w:rsidRDefault="009D76CF">
      <w:r>
        <w:lastRenderedPageBreak/>
        <w:t>Interest rates, as depicted by the yield curve, are the primary drivers of bond prices.  The following chart shows various shapes of the yield curve.</w:t>
      </w:r>
      <w:r>
        <w:rPr>
          <w:rStyle w:val="FootnoteReference"/>
        </w:rPr>
        <w:footnoteReference w:id="8"/>
      </w:r>
    </w:p>
    <w:p w:rsidR="009D76CF" w:rsidRDefault="009D76CF"/>
    <w:p w:rsidR="009D76CF" w:rsidRDefault="009D76CF">
      <w:r w:rsidRPr="009D76CF">
        <w:rPr>
          <w:noProof/>
        </w:rPr>
        <w:drawing>
          <wp:inline distT="0" distB="0" distL="0" distR="0" wp14:anchorId="5FD5F639" wp14:editId="2E53D32E">
            <wp:extent cx="5943600" cy="3185795"/>
            <wp:effectExtent l="0" t="0" r="0" b="0"/>
            <wp:docPr id="32771" name="Content Placeholder 5" descr="15.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1" name="Content Placeholder 5" descr="15.1.bmp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D76CF" w:rsidRDefault="009D76CF"/>
    <w:p w:rsidR="00053E4D" w:rsidRPr="00AE101D" w:rsidRDefault="00053E4D" w:rsidP="00053E4D">
      <w:bookmarkStart w:id="0" w:name="_GoBack"/>
      <w:bookmarkEnd w:id="0"/>
      <w:r>
        <w:t>Basic Observations (</w:t>
      </w:r>
      <w:r w:rsidRPr="00945C3F">
        <w:t>Malki</w:t>
      </w:r>
      <w:r>
        <w:t>el’s Bond Pricing Relationships)</w:t>
      </w:r>
      <w:r>
        <w:rPr>
          <w:rStyle w:val="FootnoteReference"/>
        </w:rPr>
        <w:footnoteReference w:id="9"/>
      </w:r>
    </w:p>
    <w:p w:rsidR="00053E4D" w:rsidRDefault="00053E4D" w:rsidP="00053E4D">
      <w:pPr>
        <w:pStyle w:val="ListParagraph"/>
        <w:numPr>
          <w:ilvl w:val="0"/>
          <w:numId w:val="1"/>
        </w:numPr>
      </w:pPr>
      <w:r>
        <w:t>Bond prices and yields are inversely related.</w:t>
      </w:r>
    </w:p>
    <w:p w:rsidR="00053E4D" w:rsidRDefault="00053E4D" w:rsidP="00053E4D">
      <w:pPr>
        <w:pStyle w:val="ListParagraph"/>
        <w:numPr>
          <w:ilvl w:val="0"/>
          <w:numId w:val="1"/>
        </w:numPr>
      </w:pPr>
      <w:r>
        <w:t>The price curve is convex; decreases in YTM have a bigger impact on price than increases in yields of equal magnitude.</w:t>
      </w:r>
    </w:p>
    <w:p w:rsidR="00053E4D" w:rsidRDefault="00053E4D" w:rsidP="00053E4D">
      <w:pPr>
        <w:pStyle w:val="ListParagraph"/>
        <w:numPr>
          <w:ilvl w:val="0"/>
          <w:numId w:val="1"/>
        </w:numPr>
      </w:pPr>
      <w:r>
        <w:t>Long-term bond prices are more sensitive to interest rate changes.</w:t>
      </w:r>
    </w:p>
    <w:p w:rsidR="00053E4D" w:rsidRDefault="00053E4D" w:rsidP="00053E4D">
      <w:pPr>
        <w:pStyle w:val="ListParagraph"/>
        <w:numPr>
          <w:ilvl w:val="0"/>
          <w:numId w:val="1"/>
        </w:numPr>
      </w:pPr>
      <w:r>
        <w:t>The sensitivity of bond prices to changes in yields increases at a decreasing rate as maturity increases.</w:t>
      </w:r>
    </w:p>
    <w:p w:rsidR="00053E4D" w:rsidRDefault="00053E4D" w:rsidP="00053E4D">
      <w:pPr>
        <w:pStyle w:val="ListParagraph"/>
        <w:numPr>
          <w:ilvl w:val="0"/>
          <w:numId w:val="1"/>
        </w:numPr>
      </w:pPr>
      <w:r>
        <w:t>Interest rate risk is inversely related to the bond’s coupon rate; prices of low-coupon bonds are more sensitive to changes in interest rates than prices of high coupon bonds.</w:t>
      </w:r>
    </w:p>
    <w:p w:rsidR="00053E4D" w:rsidRDefault="00053E4D" w:rsidP="00053E4D">
      <w:pPr>
        <w:pStyle w:val="ListParagraph"/>
        <w:numPr>
          <w:ilvl w:val="1"/>
          <w:numId w:val="1"/>
        </w:numPr>
      </w:pPr>
      <w:r>
        <w:t xml:space="preserve">Higher coupon rate bonds have a higher % of value tied to coupons which means a lower “effective maturity” </w:t>
      </w:r>
    </w:p>
    <w:p w:rsidR="00053E4D" w:rsidRDefault="00053E4D" w:rsidP="00053E4D">
      <w:pPr>
        <w:pStyle w:val="ListParagraph"/>
        <w:numPr>
          <w:ilvl w:val="0"/>
          <w:numId w:val="1"/>
        </w:numPr>
      </w:pPr>
      <w:r>
        <w:t>The sensitivity of a bond’s price to a change in its yield is inversely related to the YTM at which the bond is currently selling.</w:t>
      </w:r>
    </w:p>
    <w:p w:rsidR="00053E4D" w:rsidRDefault="00053E4D"/>
    <w:p w:rsidR="00053E4D" w:rsidRDefault="00053E4D"/>
    <w:p w:rsidR="00053E4D" w:rsidRDefault="00053E4D"/>
    <w:p w:rsidR="00053E4D" w:rsidRDefault="00053E4D"/>
    <w:p w:rsidR="00053E4D" w:rsidRDefault="00053E4D"/>
    <w:p w:rsidR="00053E4D" w:rsidRDefault="00053E4D"/>
    <w:p w:rsidR="00053E4D" w:rsidRDefault="00053E4D"/>
    <w:p w:rsidR="00053E4D" w:rsidRDefault="00053E4D"/>
    <w:sectPr w:rsidR="00053E4D"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E0A" w:rsidRDefault="00722E0A" w:rsidP="00AE101D">
      <w:r>
        <w:separator/>
      </w:r>
    </w:p>
  </w:endnote>
  <w:endnote w:type="continuationSeparator" w:id="0">
    <w:p w:rsidR="00722E0A" w:rsidRDefault="00722E0A" w:rsidP="00AE1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56978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76CF" w:rsidRDefault="009D76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0B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D76CF" w:rsidRDefault="009D76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E0A" w:rsidRDefault="00722E0A" w:rsidP="00AE101D">
      <w:r>
        <w:separator/>
      </w:r>
    </w:p>
  </w:footnote>
  <w:footnote w:type="continuationSeparator" w:id="0">
    <w:p w:rsidR="00722E0A" w:rsidRDefault="00722E0A" w:rsidP="00AE101D">
      <w:r>
        <w:continuationSeparator/>
      </w:r>
    </w:p>
  </w:footnote>
  <w:footnote w:id="1">
    <w:p w:rsidR="00AB3388" w:rsidRDefault="00AB3388">
      <w:pPr>
        <w:pStyle w:val="FootnoteText"/>
      </w:pPr>
      <w:r>
        <w:rPr>
          <w:rStyle w:val="FootnoteReference"/>
        </w:rPr>
        <w:footnoteRef/>
      </w:r>
      <w:r>
        <w:t xml:space="preserve"> See https://www.fidelity.com/fixed-income-bonds for example</w:t>
      </w:r>
    </w:p>
  </w:footnote>
  <w:footnote w:id="2">
    <w:p w:rsidR="003319A5" w:rsidRDefault="003319A5">
      <w:pPr>
        <w:pStyle w:val="FootnoteText"/>
      </w:pPr>
      <w:r>
        <w:rPr>
          <w:rStyle w:val="FootnoteReference"/>
        </w:rPr>
        <w:footnoteRef/>
      </w:r>
      <w:r>
        <w:t xml:space="preserve"> This example comes from </w:t>
      </w:r>
      <w:r w:rsidRPr="003319A5">
        <w:t>http://myweb.whitman.syr.edu/rkshukla/Teaching/Investment_Analysis/Videos/ch16/Ch16.Summary.Notes.pdf</w:t>
      </w:r>
    </w:p>
  </w:footnote>
  <w:footnote w:id="3">
    <w:p w:rsidR="003319A5" w:rsidRDefault="003319A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51AD2">
        <w:t>The relationship</w:t>
      </w:r>
      <w:r w:rsidRPr="003319A5">
        <w:t xml:space="preserve"> however is complicated by other bond characteristics.</w:t>
      </w:r>
    </w:p>
  </w:footnote>
  <w:footnote w:id="4">
    <w:p w:rsidR="000922F1" w:rsidRDefault="000922F1" w:rsidP="000922F1">
      <w:pPr>
        <w:pStyle w:val="FootnoteText"/>
      </w:pPr>
      <w:r>
        <w:rPr>
          <w:rStyle w:val="FootnoteReference"/>
        </w:rPr>
        <w:footnoteRef/>
      </w:r>
      <w:r>
        <w:t xml:space="preserve"> Notice Rule #1 still holds, the longer the bond's maturity, the greater the sensitivity of its price to interest rate change.</w:t>
      </w:r>
    </w:p>
  </w:footnote>
  <w:footnote w:id="5">
    <w:p w:rsidR="000922F1" w:rsidRDefault="000922F1" w:rsidP="000922F1">
      <w:pPr>
        <w:pStyle w:val="FootnoteText"/>
      </w:pPr>
      <w:r>
        <w:rPr>
          <w:rStyle w:val="FootnoteReference"/>
        </w:rPr>
        <w:footnoteRef/>
      </w:r>
      <w:r>
        <w:t xml:space="preserve"> This example comes from </w:t>
      </w:r>
      <w:r w:rsidRPr="000922F1">
        <w:rPr>
          <w:u w:val="single"/>
        </w:rPr>
        <w:t>Running Money</w:t>
      </w:r>
      <w:r>
        <w:t xml:space="preserve">, by Scott Stewart, Chris </w:t>
      </w:r>
      <w:proofErr w:type="spellStart"/>
      <w:r>
        <w:t>Piros</w:t>
      </w:r>
      <w:proofErr w:type="spellEnd"/>
      <w:r>
        <w:t xml:space="preserve">, and Jeff </w:t>
      </w:r>
      <w:proofErr w:type="spellStart"/>
      <w:r>
        <w:t>Heisler</w:t>
      </w:r>
      <w:proofErr w:type="spellEnd"/>
      <w:r>
        <w:t>.</w:t>
      </w:r>
    </w:p>
  </w:footnote>
  <w:footnote w:id="6">
    <w:p w:rsidR="00574CD6" w:rsidRDefault="00574CD6" w:rsidP="00574CD6">
      <w:pPr>
        <w:pStyle w:val="FootnoteText"/>
      </w:pPr>
      <w:r>
        <w:rPr>
          <w:rStyle w:val="FootnoteReference"/>
        </w:rPr>
        <w:footnoteRef/>
      </w:r>
      <w:r>
        <w:t xml:space="preserve"> This example comes from </w:t>
      </w:r>
      <w:r w:rsidRPr="003319A5">
        <w:t>http://myweb.whitman.syr.edu/rkshukla/Teaching/Investment_Analysis/Videos/ch16/Ch16.Summary.Notes.pdf</w:t>
      </w:r>
    </w:p>
  </w:footnote>
  <w:footnote w:id="7">
    <w:p w:rsidR="00574CD6" w:rsidRDefault="00574CD6" w:rsidP="00574CD6">
      <w:pPr>
        <w:pStyle w:val="FootnoteText"/>
      </w:pPr>
      <w:r>
        <w:rPr>
          <w:rStyle w:val="FootnoteReference"/>
        </w:rPr>
        <w:footnoteRef/>
      </w:r>
      <w:r>
        <w:t xml:space="preserve"> Note: The portfolio weights could be modified to achieve any duration between 2.81 (100% bond 1) and 4.44 years (100% bond 2).</w:t>
      </w:r>
    </w:p>
  </w:footnote>
  <w:footnote w:id="8">
    <w:p w:rsidR="009D76CF" w:rsidRDefault="009D76C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D76CF">
        <w:t xml:space="preserve">Source: </w:t>
      </w:r>
      <w:proofErr w:type="spellStart"/>
      <w:r w:rsidRPr="009D76CF">
        <w:t>Bodie</w:t>
      </w:r>
      <w:proofErr w:type="spellEnd"/>
      <w:r w:rsidRPr="009D76CF">
        <w:t>, Kane, and Marcus: Investments, 8th Edition, 2011.</w:t>
      </w:r>
    </w:p>
  </w:footnote>
  <w:footnote w:id="9">
    <w:p w:rsidR="00053E4D" w:rsidRDefault="00053E4D" w:rsidP="00053E4D">
      <w:pPr>
        <w:pStyle w:val="FootnoteText"/>
      </w:pPr>
      <w:r>
        <w:rPr>
          <w:rStyle w:val="FootnoteReference"/>
        </w:rPr>
        <w:footnoteRef/>
      </w:r>
      <w:r>
        <w:t xml:space="preserve"> Cited from </w:t>
      </w:r>
      <w:r w:rsidRPr="00AE101D">
        <w:rPr>
          <w:u w:val="single"/>
        </w:rPr>
        <w:t>Investments</w:t>
      </w:r>
      <w:r>
        <w:t>, 9</w:t>
      </w:r>
      <w:r w:rsidRPr="00AE101D">
        <w:rPr>
          <w:vertAlign w:val="superscript"/>
        </w:rPr>
        <w:t>th</w:t>
      </w:r>
      <w:r>
        <w:t xml:space="preserve"> edition by </w:t>
      </w:r>
      <w:proofErr w:type="spellStart"/>
      <w:r>
        <w:t>Bodie</w:t>
      </w:r>
      <w:proofErr w:type="spellEnd"/>
      <w:r>
        <w:t>, Kane &amp; Marcus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AA9"/>
    <w:multiLevelType w:val="hybridMultilevel"/>
    <w:tmpl w:val="59C0A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3F334F"/>
    <w:multiLevelType w:val="hybridMultilevel"/>
    <w:tmpl w:val="4F32B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8A1627"/>
    <w:multiLevelType w:val="hybridMultilevel"/>
    <w:tmpl w:val="3C2E2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4478A4"/>
    <w:multiLevelType w:val="hybridMultilevel"/>
    <w:tmpl w:val="1EA4F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C71"/>
    <w:rsid w:val="000126B1"/>
    <w:rsid w:val="00053E4D"/>
    <w:rsid w:val="000922F1"/>
    <w:rsid w:val="00112057"/>
    <w:rsid w:val="00312879"/>
    <w:rsid w:val="003319A5"/>
    <w:rsid w:val="004C4CA6"/>
    <w:rsid w:val="004E39C6"/>
    <w:rsid w:val="005344BA"/>
    <w:rsid w:val="00574CD6"/>
    <w:rsid w:val="005A0BF5"/>
    <w:rsid w:val="00625DD5"/>
    <w:rsid w:val="00665629"/>
    <w:rsid w:val="006E4BE0"/>
    <w:rsid w:val="00722E0A"/>
    <w:rsid w:val="00876A98"/>
    <w:rsid w:val="008B2026"/>
    <w:rsid w:val="008D4F2B"/>
    <w:rsid w:val="009061B9"/>
    <w:rsid w:val="00945C3F"/>
    <w:rsid w:val="00997ADA"/>
    <w:rsid w:val="009D76CF"/>
    <w:rsid w:val="00AA1797"/>
    <w:rsid w:val="00AB3388"/>
    <w:rsid w:val="00AC5496"/>
    <w:rsid w:val="00AE101D"/>
    <w:rsid w:val="00C32D72"/>
    <w:rsid w:val="00C51AD2"/>
    <w:rsid w:val="00E358D6"/>
    <w:rsid w:val="00E60754"/>
    <w:rsid w:val="00E8726A"/>
    <w:rsid w:val="00EB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E101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10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101D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10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338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319A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9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76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6CF"/>
  </w:style>
  <w:style w:type="paragraph" w:styleId="Footer">
    <w:name w:val="footer"/>
    <w:basedOn w:val="Normal"/>
    <w:link w:val="FooterChar"/>
    <w:uiPriority w:val="99"/>
    <w:unhideWhenUsed/>
    <w:rsid w:val="009D76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6CF"/>
  </w:style>
  <w:style w:type="character" w:customStyle="1" w:styleId="apple-style-span">
    <w:name w:val="apple-style-span"/>
    <w:basedOn w:val="DefaultParagraphFont"/>
    <w:rsid w:val="00053E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E101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10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101D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10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338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319A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9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76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6CF"/>
  </w:style>
  <w:style w:type="paragraph" w:styleId="Footer">
    <w:name w:val="footer"/>
    <w:basedOn w:val="Normal"/>
    <w:link w:val="FooterChar"/>
    <w:uiPriority w:val="99"/>
    <w:unhideWhenUsed/>
    <w:rsid w:val="009D76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6CF"/>
  </w:style>
  <w:style w:type="character" w:customStyle="1" w:styleId="apple-style-span">
    <w:name w:val="apple-style-span"/>
    <w:basedOn w:val="DefaultParagraphFont"/>
    <w:rsid w:val="00053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148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08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02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91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95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67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407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61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326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wmf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2.bin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2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wmf"/><Relationship Id="rId22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B745C-C85C-4DAA-9D95-CF7713C65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5</Pages>
  <Words>769</Words>
  <Characters>4023</Characters>
  <Application>Microsoft Office Word</Application>
  <DocSecurity>0</DocSecurity>
  <Lines>121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Babson College</Company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2013-09-19T19:47:00Z</cp:lastPrinted>
  <dcterms:created xsi:type="dcterms:W3CDTF">2013-09-20T20:41:00Z</dcterms:created>
  <dcterms:modified xsi:type="dcterms:W3CDTF">2013-09-23T19:30:00Z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