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EFC" w:rsidRPr="004E48EC" w:rsidRDefault="004E48EC">
      <w:pPr>
        <w:rPr>
          <w:b/>
        </w:rPr>
      </w:pPr>
      <w:r w:rsidRPr="004E48EC">
        <w:rPr>
          <w:b/>
        </w:rPr>
        <w:t>Introduction to Expected Utility &amp; Risk Aversion</w:t>
      </w:r>
    </w:p>
    <w:p w:rsidR="009E0464" w:rsidRDefault="007D32B3">
      <w:r>
        <w:rPr>
          <w:noProof/>
        </w:rPr>
        <mc:AlternateContent>
          <mc:Choice Requires="wps">
            <w:drawing>
              <wp:anchor distT="0" distB="0" distL="114300" distR="114300" simplePos="0" relativeHeight="251662336" behindDoc="0" locked="0" layoutInCell="1" allowOverlap="1" wp14:anchorId="78DCA4EB" wp14:editId="43AFC847">
                <wp:simplePos x="0" y="0"/>
                <wp:positionH relativeFrom="column">
                  <wp:posOffset>788035</wp:posOffset>
                </wp:positionH>
                <wp:positionV relativeFrom="paragraph">
                  <wp:posOffset>1826260</wp:posOffset>
                </wp:positionV>
                <wp:extent cx="345440" cy="270192"/>
                <wp:effectExtent l="0" t="0" r="16510" b="15875"/>
                <wp:wrapNone/>
                <wp:docPr id="21507" name="Text Box 21507"/>
                <wp:cNvGraphicFramePr/>
                <a:graphic xmlns:a="http://schemas.openxmlformats.org/drawingml/2006/main">
                  <a:graphicData uri="http://schemas.microsoft.com/office/word/2010/wordprocessingShape">
                    <wps:wsp>
                      <wps:cNvSpPr txBox="1"/>
                      <wps:spPr>
                        <a:xfrm>
                          <a:off x="0" y="0"/>
                          <a:ext cx="345440" cy="27019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32B3" w:rsidRDefault="007D32B3" w:rsidP="007D32B3">
                            <w:r>
                              <w:rPr>
                                <w:rFonts w:cs="Times New Roman"/>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1507" o:spid="_x0000_s1026" type="#_x0000_t202" style="position:absolute;margin-left:62.05pt;margin-top:143.8pt;width:27.2pt;height:21.2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" fillcolor="white [3201]" strokeweight=".5pt">
                <v:textbox>
                  <w:txbxContent>
                    <w:p w:rsidR="007D32B3" w:rsidRDefault="007D32B3" w:rsidP="007D32B3">
                      <w:r>
                        <w:rPr>
                          <w:rFonts w:cs="Times New Roman"/>
                        </w:rPr>
                        <w:t>☺</w:t>
                      </w:r>
                    </w:p>
                  </w:txbxContent>
                </v:textbox>
              </v:shape>
            </w:pict>
          </mc:Fallback>
        </mc:AlternateContent>
      </w:r>
      <w:r w:rsidRPr="007D32B3">
        <w:rPr>
          <w:noProof/>
        </w:rPr>
        <w:drawing>
          <wp:inline distT="0" distB="0" distL="0" distR="0" wp14:anchorId="259995B7" wp14:editId="10115078">
            <wp:extent cx="5943600" cy="3780155"/>
            <wp:effectExtent l="0" t="0" r="0" b="0"/>
            <wp:docPr id="92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780155"/>
                    </a:xfrm>
                    <a:prstGeom prst="rect">
                      <a:avLst/>
                    </a:prstGeom>
                    <a:noFill/>
                    <a:ln>
                      <a:noFill/>
                    </a:ln>
                    <a:effectLst/>
                    <a:extLst/>
                  </pic:spPr>
                </pic:pic>
              </a:graphicData>
            </a:graphic>
          </wp:inline>
        </w:drawing>
      </w:r>
    </w:p>
    <w:p w:rsidR="009E0464" w:rsidRDefault="009E0464">
      <w:r>
        <w:rPr>
          <w:rFonts w:cs="Times New Roman"/>
        </w:rPr>
        <w:t>☺</w:t>
      </w:r>
      <w:r w:rsidR="000D494E">
        <w:rPr>
          <w:rFonts w:cs="Times New Roman"/>
        </w:rPr>
        <w:t xml:space="preserve">You are </w:t>
      </w:r>
      <w:proofErr w:type="gramStart"/>
      <w:r w:rsidR="000D494E">
        <w:rPr>
          <w:rFonts w:cs="Times New Roman"/>
        </w:rPr>
        <w:t>H</w:t>
      </w:r>
      <w:r>
        <w:rPr>
          <w:rFonts w:cs="Times New Roman"/>
        </w:rPr>
        <w:t>ere</w:t>
      </w:r>
      <w:proofErr w:type="gramEnd"/>
    </w:p>
    <w:p w:rsidR="009E0464" w:rsidRDefault="009E0464"/>
    <w:p w:rsidR="006D0EFC" w:rsidRPr="006D0EFC" w:rsidRDefault="006D0EFC">
      <w:pPr>
        <w:rPr>
          <w:b/>
        </w:rPr>
      </w:pPr>
      <w:r w:rsidRPr="006D0EFC">
        <w:rPr>
          <w:b/>
        </w:rPr>
        <w:t>Risk Aversion</w:t>
      </w:r>
      <w:r w:rsidR="00775E7D" w:rsidRPr="00775E7D">
        <w:rPr>
          <w:rStyle w:val="FootnoteReference"/>
        </w:rPr>
        <w:footnoteReference w:id="1"/>
      </w:r>
    </w:p>
    <w:p w:rsidR="006D0EFC" w:rsidRDefault="006D0EFC">
      <w:r>
        <w:t xml:space="preserve">A </w:t>
      </w:r>
      <w:r w:rsidRPr="006D0EFC">
        <w:rPr>
          <w:i/>
        </w:rPr>
        <w:t>risk neutral</w:t>
      </w:r>
      <w:r>
        <w:t xml:space="preserve"> investor would be willing to accept a fair bet.</w:t>
      </w:r>
    </w:p>
    <w:p w:rsidR="006D0EFC" w:rsidRDefault="006D0EFC">
      <w:r>
        <w:t>Example: pay $20 for the following bet 20% chance to win</w:t>
      </w:r>
      <w:r w:rsidR="005B3BA2">
        <w:t xml:space="preserve"> $100 and</w:t>
      </w:r>
      <w:r>
        <w:t xml:space="preserve"> 80% chance to win $0.</w:t>
      </w:r>
    </w:p>
    <w:p w:rsidR="00775E7D" w:rsidRDefault="006D0EFC">
      <w:r>
        <w:t xml:space="preserve">A </w:t>
      </w:r>
      <w:r w:rsidRPr="006D0EFC">
        <w:rPr>
          <w:i/>
        </w:rPr>
        <w:t>risk-adverse</w:t>
      </w:r>
      <w:r>
        <w:t xml:space="preserve"> investor would pay less than $20 for the same bet.</w:t>
      </w:r>
      <w:r w:rsidR="00D2448B">
        <w:rPr>
          <w:rStyle w:val="FootnoteReference"/>
        </w:rPr>
        <w:footnoteReference w:id="2"/>
      </w:r>
    </w:p>
    <w:p w:rsidR="006D0EFC" w:rsidRDefault="006D0EFC">
      <w:pPr>
        <w:rPr>
          <w:i/>
        </w:rPr>
      </w:pPr>
    </w:p>
    <w:p w:rsidR="009E0464" w:rsidRPr="000D494E" w:rsidRDefault="006D0EFC">
      <w:pPr>
        <w:rPr>
          <w:i/>
        </w:rPr>
      </w:pPr>
      <w:r>
        <w:rPr>
          <w:i/>
        </w:rPr>
        <w:t xml:space="preserve">A risk </w:t>
      </w:r>
      <w:r w:rsidR="009E0464" w:rsidRPr="000D494E">
        <w:rPr>
          <w:i/>
        </w:rPr>
        <w:t>adverse investor evaluates their investment options on the basis of expected utility.</w:t>
      </w:r>
    </w:p>
    <w:p w:rsidR="009E0464" w:rsidRDefault="009E0464"/>
    <w:p w:rsidR="004E68C2" w:rsidRDefault="004E68C2">
      <w:r>
        <w:t>Key Points</w:t>
      </w:r>
    </w:p>
    <w:p w:rsidR="004E68C2" w:rsidRDefault="004E68C2" w:rsidP="004E68C2">
      <w:pPr>
        <w:numPr>
          <w:ilvl w:val="0"/>
          <w:numId w:val="3"/>
        </w:numPr>
      </w:pPr>
      <w:r>
        <w:t>Utility (happiness/satisfaction) rises with wealth</w:t>
      </w:r>
      <w:r>
        <w:rPr>
          <w:rStyle w:val="FootnoteReference"/>
        </w:rPr>
        <w:footnoteReference w:id="3"/>
      </w:r>
      <w:r>
        <w:t xml:space="preserve"> at a decreasing rate.</w:t>
      </w:r>
      <w:r>
        <w:rPr>
          <w:rStyle w:val="FootnoteReference"/>
        </w:rPr>
        <w:footnoteReference w:id="4"/>
      </w:r>
    </w:p>
    <w:p w:rsidR="006D0EFC" w:rsidRDefault="006D0EFC" w:rsidP="004E68C2">
      <w:pPr>
        <w:numPr>
          <w:ilvl w:val="0"/>
          <w:numId w:val="3"/>
        </w:numPr>
      </w:pPr>
      <w:r>
        <w:t xml:space="preserve">Goal is to maximize the investor’s </w:t>
      </w:r>
      <w:r w:rsidR="00775E7D">
        <w:t xml:space="preserve">expected future </w:t>
      </w:r>
      <w:r w:rsidR="00405C91">
        <w:t>utility</w:t>
      </w:r>
      <w:r>
        <w:t xml:space="preserve"> (and therefore </w:t>
      </w:r>
      <w:r w:rsidR="00405C91">
        <w:t>wealth</w:t>
      </w:r>
      <w:r>
        <w:t>)</w:t>
      </w:r>
      <w:r w:rsidR="00405C91">
        <w:rPr>
          <w:rStyle w:val="FootnoteReference"/>
        </w:rPr>
        <w:footnoteReference w:id="5"/>
      </w:r>
    </w:p>
    <w:p w:rsidR="006D0EFC" w:rsidRDefault="006D0EFC" w:rsidP="004E68C2">
      <w:pPr>
        <w:numPr>
          <w:ilvl w:val="0"/>
          <w:numId w:val="3"/>
        </w:numPr>
      </w:pPr>
      <w:r>
        <w:t>Assumes that investors are risk adverse.</w:t>
      </w:r>
    </w:p>
    <w:p w:rsidR="006D0EFC" w:rsidRDefault="006D0EFC" w:rsidP="004E68C2">
      <w:pPr>
        <w:numPr>
          <w:ilvl w:val="0"/>
          <w:numId w:val="3"/>
        </w:numPr>
      </w:pPr>
      <w:r>
        <w:t>Certainty equivalent wealth is the certain amount that equals the expected utility of a risk</w:t>
      </w:r>
      <w:r w:rsidR="009F73D6">
        <w:t>y</w:t>
      </w:r>
      <w:r>
        <w:t xml:space="preserve"> option</w:t>
      </w:r>
      <w:r w:rsidR="009F73D6">
        <w:t>.</w:t>
      </w:r>
      <w:r>
        <w:t xml:space="preserve"> </w:t>
      </w:r>
      <w:r w:rsidR="009F73D6">
        <w:t>T</w:t>
      </w:r>
      <w:r>
        <w:t xml:space="preserve">he difference between expected utility of a risky option and the utility of expect wealth is the penalty (or price) for risk. </w:t>
      </w:r>
    </w:p>
    <w:p w:rsidR="00D246C8" w:rsidRDefault="00D246C8" w:rsidP="004E68C2">
      <w:pPr>
        <w:numPr>
          <w:ilvl w:val="0"/>
          <w:numId w:val="3"/>
        </w:numPr>
      </w:pPr>
      <w:r>
        <w:t>Risk aversion affects every aspect of portfolio design (i.e. asset allocation,</w:t>
      </w:r>
      <w:r>
        <w:rPr>
          <w:rStyle w:val="FootnoteReference"/>
        </w:rPr>
        <w:footnoteReference w:id="6"/>
      </w:r>
      <w:r>
        <w:t xml:space="preserve"> asset selection,</w:t>
      </w:r>
      <w:r>
        <w:rPr>
          <w:rStyle w:val="FootnoteReference"/>
        </w:rPr>
        <w:footnoteReference w:id="7"/>
      </w:r>
      <w:r>
        <w:t xml:space="preserve"> and performance evaluation).</w:t>
      </w:r>
    </w:p>
    <w:p w:rsidR="00D246C8" w:rsidRPr="004E48EC" w:rsidRDefault="00D246C8" w:rsidP="00D246C8">
      <w:pPr>
        <w:rPr>
          <w:b/>
        </w:rPr>
      </w:pPr>
      <w:r w:rsidRPr="004E48EC">
        <w:rPr>
          <w:b/>
        </w:rPr>
        <w:lastRenderedPageBreak/>
        <w:t>Measuring Risk Aversion</w:t>
      </w:r>
    </w:p>
    <w:p w:rsidR="00D246C8" w:rsidRDefault="00D246C8" w:rsidP="00D246C8"/>
    <w:p w:rsidR="00D246C8" w:rsidRDefault="00D246C8" w:rsidP="00D246C8">
      <w:pPr>
        <w:jc w:val="both"/>
      </w:pPr>
      <w:r w:rsidRPr="00405C91">
        <w:rPr>
          <w:i/>
        </w:rPr>
        <w:t>Note</w:t>
      </w:r>
      <w:r>
        <w:t>: “There is little debate about the proposition that measuring risk aversion is important for how we think about and manage risk…” but two important issues arise: 1) the ability to reliably estimate risk aversion</w:t>
      </w:r>
      <w:r>
        <w:rPr>
          <w:rStyle w:val="FootnoteReference"/>
        </w:rPr>
        <w:footnoteReference w:id="8"/>
      </w:r>
      <w:r>
        <w:t xml:space="preserve"> and 2) even if we can measure risk aversion </w:t>
      </w:r>
      <w:r w:rsidR="00EC61B6">
        <w:t>whether</w:t>
      </w:r>
      <w:r>
        <w:t xml:space="preserve"> we </w:t>
      </w:r>
      <w:r w:rsidR="009F73D6">
        <w:t xml:space="preserve">can </w:t>
      </w:r>
      <w:r>
        <w:t>apply it to all risky assets.</w:t>
      </w:r>
    </w:p>
    <w:p w:rsidR="00D246C8" w:rsidRDefault="00D246C8" w:rsidP="00D246C8"/>
    <w:p w:rsidR="00D246C8" w:rsidRDefault="00D246C8" w:rsidP="00D246C8">
      <w:pPr>
        <w:jc w:val="both"/>
      </w:pPr>
      <w:r>
        <w:t xml:space="preserve">One popular measure of investor risk aversion is the </w:t>
      </w:r>
      <w:r w:rsidRPr="006560A8">
        <w:rPr>
          <w:i/>
        </w:rPr>
        <w:t>relative risk aversion</w:t>
      </w:r>
      <w:r>
        <w:rPr>
          <w:rStyle w:val="FootnoteReference"/>
          <w:i/>
        </w:rPr>
        <w:footnoteReference w:id="9"/>
      </w:r>
      <w:r>
        <w:t xml:space="preserve"> measure which measures how the investor will react to a percent (i.e. 1%) change in wealth.</w:t>
      </w:r>
    </w:p>
    <w:p w:rsidR="00D246C8" w:rsidRDefault="00D246C8" w:rsidP="00D246C8"/>
    <w:p w:rsidR="00873C71" w:rsidRDefault="007D32B3" w:rsidP="004E48EC">
      <w:pPr>
        <w:rPr>
          <w:position w:val="-24"/>
        </w:rPr>
      </w:pPr>
      <w:r>
        <w:br/>
      </w:r>
      <w:r w:rsidR="00EC61B6" w:rsidRPr="00873C71">
        <w:rPr>
          <w:position w:val="-24"/>
        </w:rPr>
        <w:object w:dxaOrig="28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30.75pt" o:ole="">
            <v:imagedata r:id="rId10" o:title=""/>
          </v:shape>
          <o:OLEObject Type="Embed" ProgID="Equation.DSMT4" ShapeID="_x0000_i1025" DrawAspect="Content" ObjectID="_1439021344" r:id="rId11"/>
        </w:object>
      </w:r>
    </w:p>
    <w:p w:rsidR="004E48EC" w:rsidRDefault="004E48EC" w:rsidP="004E48EC">
      <w:pPr>
        <w:rPr>
          <w:position w:val="-24"/>
        </w:rPr>
      </w:pPr>
    </w:p>
    <w:p w:rsidR="00F1059C" w:rsidRPr="00F1059C" w:rsidRDefault="00F1059C" w:rsidP="00E92676">
      <w:pPr>
        <w:jc w:val="both"/>
        <w:rPr>
          <w:position w:val="-24"/>
        </w:rPr>
      </w:pPr>
      <w:r>
        <w:rPr>
          <w:position w:val="-24"/>
        </w:rPr>
        <w:t xml:space="preserve">It is important to note that RRA considers a % change in </w:t>
      </w:r>
      <w:r w:rsidRPr="00F1059C">
        <w:rPr>
          <w:i/>
          <w:position w:val="-24"/>
        </w:rPr>
        <w:t>marginal</w:t>
      </w:r>
      <w:r>
        <w:rPr>
          <w:position w:val="-24"/>
        </w:rPr>
        <w:t xml:space="preserve"> utility, which is the second derivative (i.e. the % change in happiness as well as the % change in the rate of change) and because we have assumed that utility </w:t>
      </w:r>
      <w:proofErr w:type="gramStart"/>
      <w:r>
        <w:rPr>
          <w:position w:val="-24"/>
        </w:rPr>
        <w:t>rises</w:t>
      </w:r>
      <w:proofErr w:type="gramEnd"/>
      <w:r>
        <w:rPr>
          <w:position w:val="-24"/>
        </w:rPr>
        <w:t xml:space="preserve"> at a decreasing rate the numerator in the equation above will be negative.  Therefore the negative sign in the equation above implies that relative risk aversion is by convention positive.</w:t>
      </w:r>
    </w:p>
    <w:p w:rsidR="00F1059C" w:rsidRDefault="00F1059C" w:rsidP="004E48EC">
      <w:pPr>
        <w:rPr>
          <w:i/>
          <w:position w:val="-24"/>
        </w:rPr>
      </w:pPr>
    </w:p>
    <w:p w:rsidR="00682E09" w:rsidRPr="00682E09" w:rsidRDefault="00682E09" w:rsidP="004E48EC">
      <w:pPr>
        <w:rPr>
          <w:i/>
          <w:position w:val="-24"/>
        </w:rPr>
      </w:pPr>
      <w:r w:rsidRPr="00682E09">
        <w:rPr>
          <w:i/>
          <w:position w:val="-24"/>
        </w:rPr>
        <w:t>Example</w:t>
      </w:r>
    </w:p>
    <w:p w:rsidR="00E92676" w:rsidRDefault="00E92676" w:rsidP="004E48EC">
      <w:pPr>
        <w:rPr>
          <w:position w:val="-24"/>
        </w:rPr>
      </w:pPr>
      <w:r>
        <w:rPr>
          <w:position w:val="-24"/>
        </w:rPr>
        <w:t>At time 1 you have 100 units of happiness based on $10</w:t>
      </w:r>
      <w:r w:rsidR="00152D1C">
        <w:rPr>
          <w:position w:val="-24"/>
        </w:rPr>
        <w:t>0</w:t>
      </w:r>
      <w:r>
        <w:rPr>
          <w:position w:val="-24"/>
        </w:rPr>
        <w:t>,000 in wealth.</w:t>
      </w:r>
    </w:p>
    <w:p w:rsidR="00E92676" w:rsidRDefault="00E92676" w:rsidP="004E48EC">
      <w:pPr>
        <w:rPr>
          <w:position w:val="-24"/>
        </w:rPr>
      </w:pPr>
      <w:r>
        <w:rPr>
          <w:position w:val="-24"/>
        </w:rPr>
        <w:t xml:space="preserve">At time 2 you </w:t>
      </w:r>
      <w:r w:rsidR="00152D1C">
        <w:rPr>
          <w:position w:val="-24"/>
        </w:rPr>
        <w:t>have</w:t>
      </w:r>
      <w:r>
        <w:rPr>
          <w:position w:val="-24"/>
        </w:rPr>
        <w:t xml:space="preserve"> 110 units of happiness based on $20</w:t>
      </w:r>
      <w:r w:rsidR="00152D1C">
        <w:rPr>
          <w:position w:val="-24"/>
        </w:rPr>
        <w:t>0</w:t>
      </w:r>
      <w:r>
        <w:rPr>
          <w:position w:val="-24"/>
        </w:rPr>
        <w:t>,000 in wealth.</w:t>
      </w:r>
    </w:p>
    <w:p w:rsidR="00E92676" w:rsidRDefault="00E92676" w:rsidP="004E48EC">
      <w:pPr>
        <w:rPr>
          <w:position w:val="-24"/>
        </w:rPr>
      </w:pPr>
      <w:r>
        <w:rPr>
          <w:position w:val="-24"/>
        </w:rPr>
        <w:t>At time 3 you have 115.5 units of happiness based on $40</w:t>
      </w:r>
      <w:r w:rsidR="00152D1C">
        <w:rPr>
          <w:position w:val="-24"/>
        </w:rPr>
        <w:t>0</w:t>
      </w:r>
      <w:r>
        <w:rPr>
          <w:position w:val="-24"/>
        </w:rPr>
        <w:t>,000 in wealth.</w:t>
      </w:r>
    </w:p>
    <w:p w:rsidR="00E92676" w:rsidRDefault="00E92676" w:rsidP="004E48EC">
      <w:pPr>
        <w:rPr>
          <w:position w:val="-24"/>
        </w:rPr>
      </w:pPr>
    </w:p>
    <w:p w:rsidR="00E92676" w:rsidRDefault="00E92676" w:rsidP="004E48EC">
      <w:pPr>
        <w:rPr>
          <w:position w:val="-24"/>
        </w:rPr>
      </w:pPr>
      <w:r>
        <w:rPr>
          <w:position w:val="-24"/>
        </w:rPr>
        <w:t xml:space="preserve">Notice that your wealth is increasing at </w:t>
      </w:r>
      <w:r w:rsidR="00152D1C">
        <w:rPr>
          <w:position w:val="-24"/>
        </w:rPr>
        <w:t>10</w:t>
      </w:r>
      <w:r>
        <w:rPr>
          <w:position w:val="-24"/>
        </w:rPr>
        <w:t>0% over the two time periods and your happiness increases at 10% and then by 5%.  The rate of change in happiness is therefore decreasing by 50%.  Plugging these numbers into the formula above gives us:</w:t>
      </w:r>
    </w:p>
    <w:p w:rsidR="00E92676" w:rsidRDefault="00E92676" w:rsidP="004E48EC">
      <w:pPr>
        <w:rPr>
          <w:position w:val="-24"/>
        </w:rPr>
      </w:pPr>
    </w:p>
    <w:p w:rsidR="00E92676" w:rsidRDefault="00152D1C" w:rsidP="004E48EC">
      <w:pPr>
        <w:rPr>
          <w:position w:val="-24"/>
        </w:rPr>
      </w:pPr>
      <w:r w:rsidRPr="00873C71">
        <w:rPr>
          <w:position w:val="-24"/>
        </w:rPr>
        <w:object w:dxaOrig="2700" w:dyaOrig="960">
          <v:shape id="_x0000_i1026" type="#_x0000_t75" style="width:135pt;height:47.25pt" o:ole="">
            <v:imagedata r:id="rId12" o:title=""/>
          </v:shape>
          <o:OLEObject Type="Embed" ProgID="Equation.DSMT4" ShapeID="_x0000_i1026" DrawAspect="Content" ObjectID="_1439021345" r:id="rId13"/>
        </w:object>
      </w:r>
    </w:p>
    <w:p w:rsidR="00E92676" w:rsidRDefault="00E92676" w:rsidP="004E48EC">
      <w:pPr>
        <w:rPr>
          <w:position w:val="-24"/>
        </w:rPr>
      </w:pPr>
    </w:p>
    <w:p w:rsidR="00EC61B6" w:rsidRDefault="00152D1C" w:rsidP="004E48EC">
      <w:pPr>
        <w:rPr>
          <w:position w:val="-24"/>
        </w:rPr>
      </w:pPr>
      <w:r>
        <w:rPr>
          <w:position w:val="-24"/>
        </w:rPr>
        <w:t>Finally, t</w:t>
      </w:r>
      <w:r w:rsidR="00EC61B6">
        <w:rPr>
          <w:position w:val="-24"/>
        </w:rPr>
        <w:t>he higher the RRA the more pronounced the curvature of the utilit</w:t>
      </w:r>
      <w:r w:rsidR="0053056E">
        <w:rPr>
          <w:position w:val="-24"/>
        </w:rPr>
        <w:t>y function (i.e. the farther certainty equivalent wealth</w:t>
      </w:r>
      <w:r w:rsidR="00EC61B6">
        <w:rPr>
          <w:position w:val="-24"/>
        </w:rPr>
        <w:t xml:space="preserve"> will be from the risky alternative).</w:t>
      </w:r>
    </w:p>
    <w:p w:rsidR="00682E09" w:rsidRDefault="00682E09" w:rsidP="004E48EC">
      <w:pPr>
        <w:rPr>
          <w:position w:val="-24"/>
        </w:rPr>
      </w:pPr>
    </w:p>
    <w:p w:rsidR="00EC61B6" w:rsidRPr="00682E09" w:rsidRDefault="00EC61B6" w:rsidP="00EC61B6">
      <w:pPr>
        <w:rPr>
          <w:b/>
        </w:rPr>
      </w:pPr>
      <w:r w:rsidRPr="00682E09">
        <w:rPr>
          <w:b/>
        </w:rPr>
        <w:lastRenderedPageBreak/>
        <w:t>Constant Relative Risk Aversion</w:t>
      </w:r>
    </w:p>
    <w:p w:rsidR="00EC61B6" w:rsidRDefault="00EC61B6" w:rsidP="004E48EC">
      <w:pPr>
        <w:rPr>
          <w:position w:val="-24"/>
        </w:rPr>
      </w:pPr>
    </w:p>
    <w:p w:rsidR="00296A57" w:rsidRDefault="00296A57" w:rsidP="004E48EC">
      <w:pPr>
        <w:rPr>
          <w:position w:val="-24"/>
        </w:rPr>
      </w:pPr>
      <w:r>
        <w:rPr>
          <w:position w:val="-24"/>
        </w:rPr>
        <w:t>Constant relative risk aversion</w:t>
      </w:r>
      <w:r w:rsidR="00EC61B6">
        <w:rPr>
          <w:rStyle w:val="FootnoteReference"/>
          <w:position w:val="-24"/>
        </w:rPr>
        <w:footnoteReference w:id="10"/>
      </w:r>
      <w:r>
        <w:rPr>
          <w:position w:val="-24"/>
        </w:rPr>
        <w:t xml:space="preserve"> implies that the proportion of wealth we are willing to expose to risk remains constant (i.e. 10%) but that the absolute amount will increase (i.e. 10% of 100K and 10% of $1M).   </w:t>
      </w:r>
    </w:p>
    <w:p w:rsidR="00296A57" w:rsidRDefault="00296A57" w:rsidP="004E48EC">
      <w:pPr>
        <w:rPr>
          <w:position w:val="-24"/>
        </w:rPr>
      </w:pPr>
    </w:p>
    <w:p w:rsidR="007D32B3" w:rsidRDefault="007D32B3" w:rsidP="00682E09">
      <w:r>
        <w:t xml:space="preserve">Plugging </w:t>
      </w:r>
      <w:r w:rsidR="004C5F41">
        <w:t>our answer from the earlier example</w:t>
      </w:r>
      <w:r>
        <w:t xml:space="preserve"> answer in as </w:t>
      </w:r>
      <w:r w:rsidR="00873C71">
        <w:rPr>
          <w:rFonts w:cs="Times New Roman"/>
        </w:rPr>
        <w:t>γ</w:t>
      </w:r>
      <w:r w:rsidR="00873C71">
        <w:t xml:space="preserve"> to the constant relative risk aversion utility</w:t>
      </w:r>
      <w:r w:rsidR="00D013F6">
        <w:t xml:space="preserve"> (CRRA)</w:t>
      </w:r>
      <w:r w:rsidR="00873C71">
        <w:t xml:space="preserve"> function</w:t>
      </w:r>
      <w:r w:rsidR="00152D1C">
        <w:rPr>
          <w:rStyle w:val="FootnoteReference"/>
        </w:rPr>
        <w:footnoteReference w:id="11"/>
      </w:r>
      <w:r w:rsidR="00873C71">
        <w:t xml:space="preserve"> we can draw a utility curve for a given investor.</w:t>
      </w:r>
    </w:p>
    <w:p w:rsidR="00873C71" w:rsidRDefault="00873C71" w:rsidP="00873C71">
      <w:pPr>
        <w:ind w:left="720"/>
      </w:pPr>
      <w:r w:rsidRPr="00873C71">
        <w:rPr>
          <w:position w:val="-28"/>
        </w:rPr>
        <w:object w:dxaOrig="1860" w:dyaOrig="700">
          <v:shape id="_x0000_i1027" type="#_x0000_t75" style="width:93pt;height:35.25pt" o:ole="">
            <v:imagedata r:id="rId14" o:title=""/>
          </v:shape>
          <o:OLEObject Type="Embed" ProgID="Equation.DSMT4" ShapeID="_x0000_i1027" DrawAspect="Content" ObjectID="_1439021346" r:id="rId15"/>
        </w:object>
      </w:r>
    </w:p>
    <w:p w:rsidR="00152D1C" w:rsidRDefault="00152D1C"/>
    <w:p w:rsidR="004C5F41" w:rsidRDefault="00152D1C">
      <w:r>
        <w:t xml:space="preserve">Example from </w:t>
      </w:r>
      <w:r w:rsidRPr="00A9632A">
        <w:rPr>
          <w:u w:val="single"/>
        </w:rPr>
        <w:t>Running Money</w:t>
      </w:r>
      <w:r>
        <w:t xml:space="preserve"> </w:t>
      </w:r>
      <w:r w:rsidR="00A9632A">
        <w:t>Chapter 3 pp. 60-61</w:t>
      </w:r>
    </w:p>
    <w:p w:rsidR="00A9632A" w:rsidRDefault="00A9632A"/>
    <w:p w:rsidR="00A9632A" w:rsidRDefault="00A9632A">
      <w:r>
        <w:t>Suppose you are offered the following</w:t>
      </w:r>
      <w:r w:rsidR="0057602F">
        <w:t xml:space="preserve"> two</w:t>
      </w:r>
      <w:r>
        <w:t xml:space="preserve"> options:</w:t>
      </w:r>
    </w:p>
    <w:p w:rsidR="00A9632A" w:rsidRDefault="00A9632A" w:rsidP="00A9632A">
      <w:pPr>
        <w:numPr>
          <w:ilvl w:val="0"/>
          <w:numId w:val="4"/>
        </w:numPr>
      </w:pPr>
      <w:r>
        <w:t xml:space="preserve">100% chance to receive $50,000 (W2) </w:t>
      </w:r>
    </w:p>
    <w:p w:rsidR="00A9632A" w:rsidRDefault="00A9632A" w:rsidP="00A9632A">
      <w:pPr>
        <w:numPr>
          <w:ilvl w:val="0"/>
          <w:numId w:val="4"/>
        </w:numPr>
      </w:pPr>
      <w:r>
        <w:t>50% chance to receive $100,000 (W3) and 50% chance to receive $0 (W1)</w:t>
      </w:r>
    </w:p>
    <w:p w:rsidR="00A9632A" w:rsidRDefault="00A9632A" w:rsidP="00A9632A"/>
    <w:p w:rsidR="00A9632A" w:rsidRDefault="00A9632A" w:rsidP="00A9632A">
      <w:r>
        <w:t>Assume your utility function</w:t>
      </w:r>
      <w:r w:rsidR="00D013F6">
        <w:rPr>
          <w:rStyle w:val="FootnoteReference"/>
        </w:rPr>
        <w:footnoteReference w:id="12"/>
      </w:r>
      <w:r>
        <w:t xml:space="preserve"> displays constant relative risk aversion</w:t>
      </w:r>
      <w:r>
        <w:rPr>
          <w:rStyle w:val="FootnoteReference"/>
        </w:rPr>
        <w:footnoteReference w:id="13"/>
      </w:r>
      <w:r>
        <w:t xml:space="preserve"> where </w:t>
      </w:r>
      <w:r>
        <w:rPr>
          <w:rFonts w:cs="Times New Roman"/>
        </w:rPr>
        <w:t>γ</w:t>
      </w:r>
      <w:r>
        <w:t xml:space="preserve"> = 0.5. </w:t>
      </w:r>
    </w:p>
    <w:p w:rsidR="00A9632A" w:rsidRDefault="00A9632A" w:rsidP="00A9632A"/>
    <w:p w:rsidR="004C5F41" w:rsidRDefault="00D013F6">
      <w:pPr>
        <w:rPr>
          <w:position w:val="-24"/>
        </w:rPr>
      </w:pPr>
      <w:r w:rsidRPr="00A9632A">
        <w:rPr>
          <w:position w:val="-24"/>
        </w:rPr>
        <w:object w:dxaOrig="3560" w:dyaOrig="720">
          <v:shape id="_x0000_i1028" type="#_x0000_t75" style="width:177.75pt;height:36.75pt" o:ole="">
            <v:imagedata r:id="rId16" o:title=""/>
          </v:shape>
          <o:OLEObject Type="Embed" ProgID="Equation.DSMT4" ShapeID="_x0000_i1028" DrawAspect="Content" ObjectID="_1439021347" r:id="rId17"/>
        </w:object>
      </w:r>
    </w:p>
    <w:p w:rsidR="00D013F6" w:rsidRDefault="00D013F6">
      <w:pPr>
        <w:rPr>
          <w:position w:val="-24"/>
        </w:rPr>
      </w:pPr>
    </w:p>
    <w:p w:rsidR="007A5078" w:rsidRDefault="0057602F">
      <w:pPr>
        <w:rPr>
          <w:position w:val="-24"/>
        </w:rPr>
      </w:pPr>
      <w:r w:rsidRPr="00D013F6">
        <w:rPr>
          <w:position w:val="-36"/>
        </w:rPr>
        <w:object w:dxaOrig="5920" w:dyaOrig="840">
          <v:shape id="_x0000_i1029" type="#_x0000_t75" style="width:296.25pt;height:42.75pt" o:ole="">
            <v:imagedata r:id="rId18" o:title=""/>
          </v:shape>
          <o:OLEObject Type="Embed" ProgID="Equation.DSMT4" ShapeID="_x0000_i1029" DrawAspect="Content" ObjectID="_1439021348" r:id="rId19"/>
        </w:object>
      </w:r>
    </w:p>
    <w:p w:rsidR="007A5078" w:rsidRDefault="007A5078">
      <w:pPr>
        <w:rPr>
          <w:position w:val="-24"/>
        </w:rPr>
      </w:pPr>
    </w:p>
    <w:p w:rsidR="00D013F6" w:rsidRDefault="007A5078">
      <w:pPr>
        <w:rPr>
          <w:position w:val="-24"/>
        </w:rPr>
      </w:pPr>
      <w:r>
        <w:rPr>
          <w:position w:val="-24"/>
        </w:rPr>
        <w:t>Based on the utility function that we’ve selected</w:t>
      </w:r>
      <w:r w:rsidR="00D013F6">
        <w:rPr>
          <w:position w:val="-24"/>
        </w:rPr>
        <w:t xml:space="preserve"> (CRRA)</w:t>
      </w:r>
      <w:r>
        <w:rPr>
          <w:position w:val="-24"/>
        </w:rPr>
        <w:t>, we can solve for the certainty equivalent</w:t>
      </w:r>
      <w:r w:rsidR="00D013F6">
        <w:rPr>
          <w:position w:val="-24"/>
        </w:rPr>
        <w:t xml:space="preserve"> wealth</w:t>
      </w:r>
      <w:r w:rsidR="0057602F">
        <w:rPr>
          <w:position w:val="-24"/>
        </w:rPr>
        <w:t xml:space="preserve"> that gives us the same utility as the risky investment</w:t>
      </w:r>
      <w:r w:rsidR="00D013F6">
        <w:rPr>
          <w:position w:val="-24"/>
        </w:rPr>
        <w:t>.</w:t>
      </w:r>
    </w:p>
    <w:p w:rsidR="00D013F6" w:rsidRDefault="00D013F6">
      <w:pPr>
        <w:rPr>
          <w:position w:val="-24"/>
        </w:rPr>
      </w:pPr>
    </w:p>
    <w:p w:rsidR="00D013F6" w:rsidRPr="00D013F6" w:rsidRDefault="0057602F">
      <w:pPr>
        <w:rPr>
          <w:position w:val="-24"/>
        </w:rPr>
      </w:pPr>
      <w:r w:rsidRPr="0057602F">
        <w:rPr>
          <w:position w:val="-58"/>
        </w:rPr>
        <w:object w:dxaOrig="2920" w:dyaOrig="1520">
          <v:shape id="_x0000_i1030" type="#_x0000_t75" style="width:146.25pt;height:77.25pt" o:ole="">
            <v:imagedata r:id="rId20" o:title=""/>
          </v:shape>
          <o:OLEObject Type="Embed" ProgID="Equation.DSMT4" ShapeID="_x0000_i1030" DrawAspect="Content" ObjectID="_1439021349" r:id="rId21"/>
        </w:object>
      </w:r>
    </w:p>
    <w:p w:rsidR="004C5F41" w:rsidRDefault="004C5F41"/>
    <w:p w:rsidR="0057602F" w:rsidRDefault="0057602F">
      <w:r>
        <w:t>Based on this analysis, the sure thing (</w:t>
      </w:r>
      <w:bookmarkStart w:id="0" w:name="_GoBack"/>
      <w:bookmarkEnd w:id="0"/>
      <w:r>
        <w:t xml:space="preserve">$50,000) would be preferred, because the expected payoff of the risky option ($50,000) is above the certainty </w:t>
      </w:r>
      <w:r w:rsidR="007F5D59">
        <w:t>equivalent</w:t>
      </w:r>
      <w:r>
        <w:t xml:space="preserve"> </w:t>
      </w:r>
      <w:r w:rsidR="007F5D59">
        <w:t>wealth threshold of ($25,000).</w:t>
      </w:r>
    </w:p>
    <w:p w:rsidR="00E20793" w:rsidRPr="00152D1C" w:rsidRDefault="004C5F41">
      <w:pPr>
        <w:rPr>
          <w:b/>
        </w:rPr>
      </w:pPr>
      <w:r w:rsidRPr="00152D1C">
        <w:rPr>
          <w:b/>
        </w:rPr>
        <w:lastRenderedPageBreak/>
        <w:t>A</w:t>
      </w:r>
      <w:r w:rsidR="00E20793" w:rsidRPr="00152D1C">
        <w:rPr>
          <w:b/>
        </w:rPr>
        <w:t>ppendix</w:t>
      </w:r>
      <w:r w:rsidR="00152D1C" w:rsidRPr="00152D1C">
        <w:rPr>
          <w:b/>
        </w:rPr>
        <w:t>: Example Utility Functions</w:t>
      </w:r>
      <w:r w:rsidR="00152D1C">
        <w:rPr>
          <w:rStyle w:val="FootnoteReference"/>
          <w:b/>
        </w:rPr>
        <w:footnoteReference w:id="14"/>
      </w:r>
    </w:p>
    <w:p w:rsidR="00E20793" w:rsidRDefault="00E20793"/>
    <w:p w:rsidR="00E20793" w:rsidRDefault="00E20793">
      <w:r>
        <w:rPr>
          <w:noProof/>
        </w:rPr>
        <w:drawing>
          <wp:inline distT="0" distB="0" distL="0" distR="0" wp14:anchorId="65E82D58" wp14:editId="50F70B4F">
            <wp:extent cx="5629275" cy="3598093"/>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122" t="29231" r="52244" b="23077"/>
                    <a:stretch/>
                  </pic:blipFill>
                  <pic:spPr bwMode="auto">
                    <a:xfrm>
                      <a:off x="0" y="0"/>
                      <a:ext cx="5629275" cy="3598093"/>
                    </a:xfrm>
                    <a:prstGeom prst="rect">
                      <a:avLst/>
                    </a:prstGeom>
                    <a:ln>
                      <a:noFill/>
                    </a:ln>
                    <a:extLst>
                      <a:ext uri="{53640926-AAD7-44D8-BBD7-CCE9431645EC}">
                        <a14:shadowObscured xmlns:a14="http://schemas.microsoft.com/office/drawing/2010/main"/>
                      </a:ext>
                    </a:extLst>
                  </pic:spPr>
                </pic:pic>
              </a:graphicData>
            </a:graphic>
          </wp:inline>
        </w:drawing>
      </w:r>
    </w:p>
    <w:p w:rsidR="00152D1C" w:rsidRDefault="00152D1C">
      <w:pPr>
        <w:rPr>
          <w:i/>
        </w:rPr>
      </w:pPr>
    </w:p>
    <w:p w:rsidR="00E20793" w:rsidRDefault="00E20793">
      <w:r w:rsidRPr="00CB3F25">
        <w:rPr>
          <w:i/>
        </w:rPr>
        <w:t>Notes</w:t>
      </w:r>
      <w:r>
        <w:t>:</w:t>
      </w:r>
    </w:p>
    <w:p w:rsidR="00E20793" w:rsidRDefault="00E20793">
      <w:r>
        <w:t>A risk-averse individual would have a concave utility function (the top line in the chart above).  A risk-neutral individual would have a linear utility function and a risk-loving individual would have a convex utility function.</w:t>
      </w:r>
      <w:r>
        <w:rPr>
          <w:rStyle w:val="FootnoteReference"/>
        </w:rPr>
        <w:footnoteReference w:id="15"/>
      </w:r>
    </w:p>
    <w:sectPr w:rsidR="00E20793">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1EE" w:rsidRDefault="008121EE" w:rsidP="004E68C2">
      <w:r>
        <w:separator/>
      </w:r>
    </w:p>
  </w:endnote>
  <w:endnote w:type="continuationSeparator" w:id="0">
    <w:p w:rsidR="008121EE" w:rsidRDefault="008121EE" w:rsidP="004E6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4937068"/>
      <w:docPartObj>
        <w:docPartGallery w:val="Page Numbers (Bottom of Page)"/>
        <w:docPartUnique/>
      </w:docPartObj>
    </w:sdtPr>
    <w:sdtEndPr>
      <w:rPr>
        <w:noProof/>
      </w:rPr>
    </w:sdtEndPr>
    <w:sdtContent>
      <w:p w:rsidR="004E48EC" w:rsidRDefault="004E48EC">
        <w:pPr>
          <w:pStyle w:val="Footer"/>
          <w:jc w:val="right"/>
        </w:pPr>
        <w:r>
          <w:fldChar w:fldCharType="begin"/>
        </w:r>
        <w:r>
          <w:instrText xml:space="preserve"> PAGE   \* MERGEFORMAT </w:instrText>
        </w:r>
        <w:r>
          <w:fldChar w:fldCharType="separate"/>
        </w:r>
        <w:r w:rsidR="0053056E">
          <w:rPr>
            <w:noProof/>
          </w:rPr>
          <w:t>1</w:t>
        </w:r>
        <w:r>
          <w:rPr>
            <w:noProof/>
          </w:rPr>
          <w:fldChar w:fldCharType="end"/>
        </w:r>
      </w:p>
    </w:sdtContent>
  </w:sdt>
  <w:p w:rsidR="004E48EC" w:rsidRDefault="004E48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1EE" w:rsidRDefault="008121EE" w:rsidP="004E68C2">
      <w:r>
        <w:separator/>
      </w:r>
    </w:p>
  </w:footnote>
  <w:footnote w:type="continuationSeparator" w:id="0">
    <w:p w:rsidR="008121EE" w:rsidRDefault="008121EE" w:rsidP="004E68C2">
      <w:r>
        <w:continuationSeparator/>
      </w:r>
    </w:p>
  </w:footnote>
  <w:footnote w:id="1">
    <w:p w:rsidR="00775E7D" w:rsidRDefault="00775E7D">
      <w:pPr>
        <w:pStyle w:val="FootnoteText"/>
      </w:pPr>
      <w:r>
        <w:rPr>
          <w:rStyle w:val="FootnoteReference"/>
        </w:rPr>
        <w:footnoteRef/>
      </w:r>
      <w:r>
        <w:t xml:space="preserve"> Exhibit 3.5 comes from </w:t>
      </w:r>
      <w:r w:rsidRPr="00775E7D">
        <w:rPr>
          <w:u w:val="single"/>
        </w:rPr>
        <w:t>Running Money</w:t>
      </w:r>
      <w:r>
        <w:t xml:space="preserve"> by Stewart, </w:t>
      </w:r>
      <w:proofErr w:type="spellStart"/>
      <w:r>
        <w:t>Piros</w:t>
      </w:r>
      <w:proofErr w:type="spellEnd"/>
      <w:r>
        <w:t xml:space="preserve">, and </w:t>
      </w:r>
      <w:proofErr w:type="spellStart"/>
      <w:r>
        <w:t>Heisler</w:t>
      </w:r>
      <w:proofErr w:type="spellEnd"/>
      <w:r>
        <w:t xml:space="preserve"> Chapter 3, p. 59</w:t>
      </w:r>
    </w:p>
  </w:footnote>
  <w:footnote w:id="2">
    <w:p w:rsidR="00D2448B" w:rsidRDefault="00D2448B">
      <w:pPr>
        <w:pStyle w:val="FootnoteText"/>
      </w:pPr>
      <w:r>
        <w:rPr>
          <w:rStyle w:val="FootnoteReference"/>
        </w:rPr>
        <w:footnoteRef/>
      </w:r>
      <w:r>
        <w:t xml:space="preserve"> A risk-loving individual would be willing to pay more than $20 (think of someone that enjoys going to Vegas).</w:t>
      </w:r>
    </w:p>
  </w:footnote>
  <w:footnote w:id="3">
    <w:p w:rsidR="004E68C2" w:rsidRDefault="004E68C2">
      <w:pPr>
        <w:pStyle w:val="FootnoteText"/>
      </w:pPr>
      <w:r>
        <w:rPr>
          <w:rStyle w:val="FootnoteReference"/>
        </w:rPr>
        <w:footnoteRef/>
      </w:r>
      <w:r>
        <w:t xml:space="preserve"> </w:t>
      </w:r>
      <w:proofErr w:type="gramStart"/>
      <w:r w:rsidRPr="004E68C2">
        <w:t>more</w:t>
      </w:r>
      <w:proofErr w:type="gramEnd"/>
      <w:r w:rsidRPr="004E68C2">
        <w:t xml:space="preserve"> wealth is assumed to be preferred to less.</w:t>
      </w:r>
    </w:p>
  </w:footnote>
  <w:footnote w:id="4">
    <w:p w:rsidR="004E68C2" w:rsidRDefault="004E68C2">
      <w:pPr>
        <w:pStyle w:val="FootnoteText"/>
      </w:pPr>
      <w:r>
        <w:rPr>
          <w:rStyle w:val="FootnoteReference"/>
        </w:rPr>
        <w:footnoteRef/>
      </w:r>
      <w:r>
        <w:t xml:space="preserve"> </w:t>
      </w:r>
      <w:proofErr w:type="gramStart"/>
      <w:r>
        <w:t>early</w:t>
      </w:r>
      <w:proofErr w:type="gramEnd"/>
      <w:r>
        <w:t xml:space="preserve"> wealth increases (i.e. when you </w:t>
      </w:r>
      <w:r w:rsidR="006D0EFC">
        <w:t>buy your first home</w:t>
      </w:r>
      <w:r>
        <w:t xml:space="preserve">) create more utility than subsequent wealth increases (when you buy your fourth and fifth “second” home). </w:t>
      </w:r>
    </w:p>
  </w:footnote>
  <w:footnote w:id="5">
    <w:p w:rsidR="00405C91" w:rsidRDefault="00405C91">
      <w:pPr>
        <w:pStyle w:val="FootnoteText"/>
      </w:pPr>
      <w:r>
        <w:rPr>
          <w:rStyle w:val="FootnoteReference"/>
        </w:rPr>
        <w:footnoteRef/>
      </w:r>
      <w:r>
        <w:t xml:space="preserve"> Economis</w:t>
      </w:r>
      <w:r w:rsidR="000B48EC">
        <w:t>ts</w:t>
      </w:r>
      <w:r>
        <w:t xml:space="preserve"> argue that individuals make choices to maximize expected utility.</w:t>
      </w:r>
    </w:p>
  </w:footnote>
  <w:footnote w:id="6">
    <w:p w:rsidR="00D246C8" w:rsidRDefault="00D246C8">
      <w:pPr>
        <w:pStyle w:val="FootnoteText"/>
      </w:pPr>
      <w:r>
        <w:rPr>
          <w:rStyle w:val="FootnoteReference"/>
        </w:rPr>
        <w:footnoteRef/>
      </w:r>
      <w:r>
        <w:t xml:space="preserve"> Investors with more risk aversion prefer allocating a smaller proportion of their portfolio to riskier assets</w:t>
      </w:r>
      <w:r w:rsidR="00682E09">
        <w:t xml:space="preserve"> (i.e. stocks vs. bonds)</w:t>
      </w:r>
      <w:r>
        <w:t>.</w:t>
      </w:r>
    </w:p>
  </w:footnote>
  <w:footnote w:id="7">
    <w:p w:rsidR="00D246C8" w:rsidRDefault="00D246C8">
      <w:pPr>
        <w:pStyle w:val="FootnoteText"/>
      </w:pPr>
      <w:r>
        <w:rPr>
          <w:rStyle w:val="FootnoteReference"/>
        </w:rPr>
        <w:footnoteRef/>
      </w:r>
      <w:r>
        <w:t xml:space="preserve"> </w:t>
      </w:r>
      <w:r w:rsidR="00682E09">
        <w:t>Investors with less risk aversion may be willing to place more of their equity investment into one sector (i.e. technology stocks)</w:t>
      </w:r>
    </w:p>
  </w:footnote>
  <w:footnote w:id="8">
    <w:p w:rsidR="00D246C8" w:rsidRDefault="00D246C8" w:rsidP="00D246C8">
      <w:pPr>
        <w:pStyle w:val="FootnoteText"/>
      </w:pPr>
      <w:r>
        <w:rPr>
          <w:rStyle w:val="FootnoteReference"/>
        </w:rPr>
        <w:footnoteRef/>
      </w:r>
      <w:r>
        <w:t xml:space="preserve"> “</w:t>
      </w:r>
      <w:proofErr w:type="gramStart"/>
      <w:r>
        <w:t>most</w:t>
      </w:r>
      <w:proofErr w:type="gramEnd"/>
      <w:r>
        <w:t xml:space="preserve"> individuals are unclear about the exact form and parameters of their utility functions.” (</w:t>
      </w:r>
      <w:proofErr w:type="gramStart"/>
      <w:r>
        <w:t>i.e</w:t>
      </w:r>
      <w:proofErr w:type="gramEnd"/>
      <w:r>
        <w:t xml:space="preserve">. how happy will you be when you pay off your second home?) These issues are cited from “Risk Aversion” Retrieved 1/28/12 </w:t>
      </w:r>
      <w:r w:rsidRPr="005F34E5">
        <w:t>http://pages.stern.nyu.edu/~adamodar/New_Home_Page/risk/riskaversion.htm</w:t>
      </w:r>
      <w:r>
        <w:t xml:space="preserve"> </w:t>
      </w:r>
    </w:p>
  </w:footnote>
  <w:footnote w:id="9">
    <w:p w:rsidR="00D246C8" w:rsidRDefault="00D246C8" w:rsidP="00D246C8">
      <w:pPr>
        <w:pStyle w:val="FootnoteText"/>
      </w:pPr>
      <w:r>
        <w:rPr>
          <w:rStyle w:val="FootnoteReference"/>
        </w:rPr>
        <w:footnoteRef/>
      </w:r>
      <w:r>
        <w:t xml:space="preserve"> The related absolute risk aversion formula measures how an investor will react to an absolute (i.e. $100) change in wealth.  </w:t>
      </w:r>
    </w:p>
  </w:footnote>
  <w:footnote w:id="10">
    <w:p w:rsidR="00EC61B6" w:rsidRDefault="00EC61B6">
      <w:pPr>
        <w:pStyle w:val="FootnoteText"/>
      </w:pPr>
      <w:r>
        <w:rPr>
          <w:rStyle w:val="FootnoteReference"/>
        </w:rPr>
        <w:footnoteRef/>
      </w:r>
      <w:r>
        <w:t xml:space="preserve"> Decreasing relative risk aversion indicates that the proportion of wealth that we are willing to put at risk increases as wealth increases.  Increasing relative risk aversion indicates that investors are willing to risk smaller proportions of their wealth as their wealth increases.</w:t>
      </w:r>
    </w:p>
  </w:footnote>
  <w:footnote w:id="11">
    <w:p w:rsidR="00152D1C" w:rsidRDefault="00152D1C">
      <w:pPr>
        <w:pStyle w:val="FootnoteText"/>
      </w:pPr>
      <w:r>
        <w:rPr>
          <w:rStyle w:val="FootnoteReference"/>
        </w:rPr>
        <w:footnoteRef/>
      </w:r>
      <w:r>
        <w:t xml:space="preserve"> Many additional utility functions exist for investment </w:t>
      </w:r>
      <w:proofErr w:type="gramStart"/>
      <w:r>
        <w:t>analysis,</w:t>
      </w:r>
      <w:proofErr w:type="gramEnd"/>
      <w:r>
        <w:t xml:space="preserve"> see the appendix for some examples.</w:t>
      </w:r>
    </w:p>
  </w:footnote>
  <w:footnote w:id="12">
    <w:p w:rsidR="00D013F6" w:rsidRDefault="00D013F6">
      <w:pPr>
        <w:pStyle w:val="FootnoteText"/>
      </w:pPr>
      <w:r>
        <w:rPr>
          <w:rStyle w:val="FootnoteReference"/>
        </w:rPr>
        <w:footnoteRef/>
      </w:r>
      <w:r>
        <w:t xml:space="preserve"> Note, </w:t>
      </w:r>
      <w:r w:rsidRPr="00A9632A">
        <w:rPr>
          <w:position w:val="-24"/>
        </w:rPr>
        <w:object w:dxaOrig="2880" w:dyaOrig="680">
          <v:shape id="_x0000_i1031" type="#_x0000_t75" style="width:98.25pt;height:23.25pt" o:ole="">
            <v:imagedata r:id="rId1" o:title=""/>
          </v:shape>
          <o:OLEObject Type="Embed" ProgID="Equation.DSMT4" ShapeID="_x0000_i1031" DrawAspect="Content" ObjectID="_1439021350" r:id="rId2"/>
        </w:object>
      </w:r>
    </w:p>
  </w:footnote>
  <w:footnote w:id="13">
    <w:p w:rsidR="00A9632A" w:rsidRDefault="00A9632A">
      <w:pPr>
        <w:pStyle w:val="FootnoteText"/>
      </w:pPr>
      <w:r>
        <w:rPr>
          <w:rStyle w:val="FootnoteReference"/>
        </w:rPr>
        <w:footnoteRef/>
      </w:r>
      <w:r>
        <w:t xml:space="preserve"> </w:t>
      </w:r>
      <w:r w:rsidRPr="00A9632A">
        <w:t>Note RRA = (1 – γ)</w:t>
      </w:r>
    </w:p>
  </w:footnote>
  <w:footnote w:id="14">
    <w:p w:rsidR="00152D1C" w:rsidRDefault="00152D1C">
      <w:pPr>
        <w:pStyle w:val="FootnoteText"/>
      </w:pPr>
      <w:r>
        <w:rPr>
          <w:rStyle w:val="FootnoteReference"/>
        </w:rPr>
        <w:footnoteRef/>
      </w:r>
      <w:r>
        <w:t xml:space="preserve"> </w:t>
      </w:r>
      <w:r w:rsidRPr="00152D1C">
        <w:t>Th</w:t>
      </w:r>
      <w:r>
        <w:t>is chart</w:t>
      </w:r>
      <w:r w:rsidRPr="00152D1C">
        <w:t xml:space="preserve"> </w:t>
      </w:r>
      <w:r>
        <w:t>is</w:t>
      </w:r>
      <w:r w:rsidRPr="00152D1C">
        <w:t xml:space="preserve"> from “Risk Aversion” http://pages.stern.nyu.edu/~adamodar/New_Home_Page/risk/riskaversion.htm</w:t>
      </w:r>
      <w:r>
        <w:t xml:space="preserve"> </w:t>
      </w:r>
      <w:r w:rsidRPr="00152D1C">
        <w:t>Retrieved 1/28/12</w:t>
      </w:r>
    </w:p>
  </w:footnote>
  <w:footnote w:id="15">
    <w:p w:rsidR="00E20793" w:rsidRDefault="00E20793">
      <w:pPr>
        <w:pStyle w:val="FootnoteText"/>
      </w:pPr>
      <w:r>
        <w:rPr>
          <w:rStyle w:val="FootnoteReference"/>
        </w:rPr>
        <w:footnoteRef/>
      </w:r>
      <w:r>
        <w:t xml:space="preserve"> See also </w:t>
      </w:r>
      <w:r w:rsidRPr="00E20793">
        <w:t>http://www.econport.org/econport/request?page=man_ru_advanced_riskaversion</w:t>
      </w:r>
      <w:r>
        <w:t xml:space="preserve"> Retrieved 1/27/12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56106"/>
    <w:multiLevelType w:val="hybridMultilevel"/>
    <w:tmpl w:val="DE5E4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F62731"/>
    <w:multiLevelType w:val="hybridMultilevel"/>
    <w:tmpl w:val="9C12F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3C7854"/>
    <w:multiLevelType w:val="hybridMultilevel"/>
    <w:tmpl w:val="5AC6C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C273AE"/>
    <w:multiLevelType w:val="hybridMultilevel"/>
    <w:tmpl w:val="460E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E0464"/>
    <w:rsid w:val="00043ABE"/>
    <w:rsid w:val="000B48EC"/>
    <w:rsid w:val="000D494E"/>
    <w:rsid w:val="00152D1C"/>
    <w:rsid w:val="00296A57"/>
    <w:rsid w:val="002E68A9"/>
    <w:rsid w:val="00405C91"/>
    <w:rsid w:val="004C5F41"/>
    <w:rsid w:val="004E48EC"/>
    <w:rsid w:val="004E68C2"/>
    <w:rsid w:val="004F77C1"/>
    <w:rsid w:val="0053056E"/>
    <w:rsid w:val="0057602F"/>
    <w:rsid w:val="005A0B79"/>
    <w:rsid w:val="005B3BA2"/>
    <w:rsid w:val="005F34E5"/>
    <w:rsid w:val="00625FC2"/>
    <w:rsid w:val="006314E3"/>
    <w:rsid w:val="006560A8"/>
    <w:rsid w:val="00682E09"/>
    <w:rsid w:val="006D0EFC"/>
    <w:rsid w:val="00775E7D"/>
    <w:rsid w:val="007A5078"/>
    <w:rsid w:val="007D32B3"/>
    <w:rsid w:val="007F5D59"/>
    <w:rsid w:val="008121EE"/>
    <w:rsid w:val="00873C71"/>
    <w:rsid w:val="008B2A13"/>
    <w:rsid w:val="009E0464"/>
    <w:rsid w:val="009F73D6"/>
    <w:rsid w:val="00A9632A"/>
    <w:rsid w:val="00AA733D"/>
    <w:rsid w:val="00B525FD"/>
    <w:rsid w:val="00B94DFD"/>
    <w:rsid w:val="00C836B0"/>
    <w:rsid w:val="00CB3F25"/>
    <w:rsid w:val="00D013F6"/>
    <w:rsid w:val="00D2448B"/>
    <w:rsid w:val="00D246C8"/>
    <w:rsid w:val="00D73BDF"/>
    <w:rsid w:val="00E20793"/>
    <w:rsid w:val="00E6368D"/>
    <w:rsid w:val="00E92676"/>
    <w:rsid w:val="00EC61B6"/>
    <w:rsid w:val="00F1059C"/>
    <w:rsid w:val="00F64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0464"/>
    <w:rPr>
      <w:rFonts w:ascii="Tahoma" w:hAnsi="Tahoma" w:cs="Tahoma"/>
      <w:sz w:val="16"/>
      <w:szCs w:val="16"/>
    </w:rPr>
  </w:style>
  <w:style w:type="character" w:customStyle="1" w:styleId="BalloonTextChar">
    <w:name w:val="Balloon Text Char"/>
    <w:basedOn w:val="DefaultParagraphFont"/>
    <w:link w:val="BalloonText"/>
    <w:uiPriority w:val="99"/>
    <w:semiHidden/>
    <w:rsid w:val="009E0464"/>
    <w:rPr>
      <w:rFonts w:ascii="Tahoma" w:hAnsi="Tahoma" w:cs="Tahoma"/>
      <w:sz w:val="16"/>
      <w:szCs w:val="16"/>
    </w:rPr>
  </w:style>
  <w:style w:type="paragraph" w:styleId="FootnoteText">
    <w:name w:val="footnote text"/>
    <w:basedOn w:val="Normal"/>
    <w:link w:val="FootnoteTextChar"/>
    <w:uiPriority w:val="99"/>
    <w:semiHidden/>
    <w:unhideWhenUsed/>
    <w:rsid w:val="004E68C2"/>
    <w:rPr>
      <w:sz w:val="20"/>
      <w:szCs w:val="20"/>
    </w:rPr>
  </w:style>
  <w:style w:type="character" w:customStyle="1" w:styleId="FootnoteTextChar">
    <w:name w:val="Footnote Text Char"/>
    <w:basedOn w:val="DefaultParagraphFont"/>
    <w:link w:val="FootnoteText"/>
    <w:uiPriority w:val="99"/>
    <w:semiHidden/>
    <w:rsid w:val="004E68C2"/>
    <w:rPr>
      <w:sz w:val="20"/>
      <w:szCs w:val="20"/>
    </w:rPr>
  </w:style>
  <w:style w:type="character" w:styleId="FootnoteReference">
    <w:name w:val="footnote reference"/>
    <w:basedOn w:val="DefaultParagraphFont"/>
    <w:uiPriority w:val="99"/>
    <w:semiHidden/>
    <w:unhideWhenUsed/>
    <w:rsid w:val="004E68C2"/>
    <w:rPr>
      <w:vertAlign w:val="superscript"/>
    </w:rPr>
  </w:style>
  <w:style w:type="paragraph" w:styleId="Header">
    <w:name w:val="header"/>
    <w:basedOn w:val="Normal"/>
    <w:link w:val="HeaderChar"/>
    <w:uiPriority w:val="99"/>
    <w:unhideWhenUsed/>
    <w:rsid w:val="004E48EC"/>
    <w:pPr>
      <w:tabs>
        <w:tab w:val="center" w:pos="4680"/>
        <w:tab w:val="right" w:pos="9360"/>
      </w:tabs>
    </w:pPr>
  </w:style>
  <w:style w:type="character" w:customStyle="1" w:styleId="HeaderChar">
    <w:name w:val="Header Char"/>
    <w:basedOn w:val="DefaultParagraphFont"/>
    <w:link w:val="Header"/>
    <w:uiPriority w:val="99"/>
    <w:rsid w:val="004E48EC"/>
  </w:style>
  <w:style w:type="paragraph" w:styleId="Footer">
    <w:name w:val="footer"/>
    <w:basedOn w:val="Normal"/>
    <w:link w:val="FooterChar"/>
    <w:uiPriority w:val="99"/>
    <w:unhideWhenUsed/>
    <w:rsid w:val="004E48EC"/>
    <w:pPr>
      <w:tabs>
        <w:tab w:val="center" w:pos="4680"/>
        <w:tab w:val="right" w:pos="9360"/>
      </w:tabs>
    </w:pPr>
  </w:style>
  <w:style w:type="character" w:customStyle="1" w:styleId="FooterChar">
    <w:name w:val="Footer Char"/>
    <w:basedOn w:val="DefaultParagraphFont"/>
    <w:link w:val="Footer"/>
    <w:uiPriority w:val="99"/>
    <w:rsid w:val="004E48EC"/>
  </w:style>
  <w:style w:type="character" w:styleId="Hyperlink">
    <w:name w:val="Hyperlink"/>
    <w:basedOn w:val="DefaultParagraphFont"/>
    <w:uiPriority w:val="99"/>
    <w:unhideWhenUsed/>
    <w:rsid w:val="00E2079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0464"/>
    <w:rPr>
      <w:rFonts w:ascii="Tahoma" w:hAnsi="Tahoma" w:cs="Tahoma"/>
      <w:sz w:val="16"/>
      <w:szCs w:val="16"/>
    </w:rPr>
  </w:style>
  <w:style w:type="character" w:customStyle="1" w:styleId="BalloonTextChar">
    <w:name w:val="Balloon Text Char"/>
    <w:basedOn w:val="DefaultParagraphFont"/>
    <w:link w:val="BalloonText"/>
    <w:uiPriority w:val="99"/>
    <w:semiHidden/>
    <w:rsid w:val="009E0464"/>
    <w:rPr>
      <w:rFonts w:ascii="Tahoma" w:hAnsi="Tahoma" w:cs="Tahoma"/>
      <w:sz w:val="16"/>
      <w:szCs w:val="16"/>
    </w:rPr>
  </w:style>
  <w:style w:type="paragraph" w:styleId="FootnoteText">
    <w:name w:val="footnote text"/>
    <w:basedOn w:val="Normal"/>
    <w:link w:val="FootnoteTextChar"/>
    <w:uiPriority w:val="99"/>
    <w:semiHidden/>
    <w:unhideWhenUsed/>
    <w:rsid w:val="004E68C2"/>
    <w:rPr>
      <w:sz w:val="20"/>
      <w:szCs w:val="20"/>
    </w:rPr>
  </w:style>
  <w:style w:type="character" w:customStyle="1" w:styleId="FootnoteTextChar">
    <w:name w:val="Footnote Text Char"/>
    <w:basedOn w:val="DefaultParagraphFont"/>
    <w:link w:val="FootnoteText"/>
    <w:uiPriority w:val="99"/>
    <w:semiHidden/>
    <w:rsid w:val="004E68C2"/>
    <w:rPr>
      <w:sz w:val="20"/>
      <w:szCs w:val="20"/>
    </w:rPr>
  </w:style>
  <w:style w:type="character" w:styleId="FootnoteReference">
    <w:name w:val="footnote reference"/>
    <w:basedOn w:val="DefaultParagraphFont"/>
    <w:uiPriority w:val="99"/>
    <w:semiHidden/>
    <w:unhideWhenUsed/>
    <w:rsid w:val="004E68C2"/>
    <w:rPr>
      <w:vertAlign w:val="superscript"/>
    </w:rPr>
  </w:style>
  <w:style w:type="paragraph" w:styleId="Header">
    <w:name w:val="header"/>
    <w:basedOn w:val="Normal"/>
    <w:link w:val="HeaderChar"/>
    <w:uiPriority w:val="99"/>
    <w:unhideWhenUsed/>
    <w:rsid w:val="004E48EC"/>
    <w:pPr>
      <w:tabs>
        <w:tab w:val="center" w:pos="4680"/>
        <w:tab w:val="right" w:pos="9360"/>
      </w:tabs>
    </w:pPr>
  </w:style>
  <w:style w:type="character" w:customStyle="1" w:styleId="HeaderChar">
    <w:name w:val="Header Char"/>
    <w:basedOn w:val="DefaultParagraphFont"/>
    <w:link w:val="Header"/>
    <w:uiPriority w:val="99"/>
    <w:rsid w:val="004E48EC"/>
  </w:style>
  <w:style w:type="paragraph" w:styleId="Footer">
    <w:name w:val="footer"/>
    <w:basedOn w:val="Normal"/>
    <w:link w:val="FooterChar"/>
    <w:uiPriority w:val="99"/>
    <w:unhideWhenUsed/>
    <w:rsid w:val="004E48EC"/>
    <w:pPr>
      <w:tabs>
        <w:tab w:val="center" w:pos="4680"/>
        <w:tab w:val="right" w:pos="9360"/>
      </w:tabs>
    </w:pPr>
  </w:style>
  <w:style w:type="character" w:customStyle="1" w:styleId="FooterChar">
    <w:name w:val="Footer Char"/>
    <w:basedOn w:val="DefaultParagraphFont"/>
    <w:link w:val="Footer"/>
    <w:uiPriority w:val="99"/>
    <w:rsid w:val="004E48EC"/>
  </w:style>
  <w:style w:type="character" w:styleId="Hyperlink">
    <w:name w:val="Hyperlink"/>
    <w:basedOn w:val="DefaultParagraphFont"/>
    <w:uiPriority w:val="99"/>
    <w:unhideWhenUsed/>
    <w:rsid w:val="00E207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6.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wmf"/><Relationship Id="rId22" Type="http://schemas.openxmlformats.org/officeDocument/2006/relationships/image" Target="media/image9.png"/></Relationships>
</file>

<file path=word/_rels/footnotes.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1C74A-ED60-49A5-B7AE-C02E73D86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604</Words>
  <Characters>3444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Babson College</Company>
  <LinksUpToDate>false</LinksUpToDate>
  <CharactersWithSpaces>4040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2012-02-09T00:28:00Z</cp:lastPrinted>
  <dcterms:created xsi:type="dcterms:W3CDTF">2013-08-26T15:22:00Z</dcterms:created>
  <dcterms:modified xsi:type="dcterms:W3CDTF">2013-08-26T15:22:00Z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