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D30" w:rsidRDefault="00CE6925" w:rsidP="00A12D30">
      <w:pPr>
        <w:jc w:val="center"/>
      </w:pPr>
      <w:r>
        <w:rPr>
          <w:b/>
          <w:caps/>
        </w:rPr>
        <w:t xml:space="preserve">SELECT </w:t>
      </w:r>
      <w:r w:rsidR="00A12D30" w:rsidRPr="00A12D30">
        <w:rPr>
          <w:b/>
          <w:caps/>
        </w:rPr>
        <w:t xml:space="preserve">Macroeconomic </w:t>
      </w:r>
      <w:r w:rsidR="00A12D30">
        <w:rPr>
          <w:b/>
          <w:caps/>
        </w:rPr>
        <w:t>Indicators</w:t>
      </w:r>
    </w:p>
    <w:p w:rsidR="00A12D30" w:rsidRDefault="00A12D30" w:rsidP="00A12D30"/>
    <w:p w:rsidR="008A5BBB" w:rsidRDefault="009B35EF" w:rsidP="00C06386">
      <w:pPr>
        <w:jc w:val="both"/>
      </w:pPr>
      <w:r>
        <w:t>The following</w:t>
      </w:r>
      <w:r w:rsidR="008A5BBB">
        <w:t xml:space="preserve"> key economic statistics</w:t>
      </w:r>
      <w:r>
        <w:t>: GDP, Employment, Inflation, Consumer Sentiment</w:t>
      </w:r>
      <w:r w:rsidR="00CE6925">
        <w:t xml:space="preserve">, and Budget Deficit </w:t>
      </w:r>
      <w:r>
        <w:t>are</w:t>
      </w:r>
      <w:r w:rsidR="008A5BBB">
        <w:t xml:space="preserve"> </w:t>
      </w:r>
      <w:r w:rsidR="00C06386">
        <w:t xml:space="preserve">some of the economic indicators </w:t>
      </w:r>
      <w:r w:rsidR="008A5BBB">
        <w:t>used to describe the state of the economy</w:t>
      </w:r>
      <w:r>
        <w:t>.</w:t>
      </w:r>
      <w:r w:rsidR="008A5BBB">
        <w:t xml:space="preserve"> </w:t>
      </w:r>
      <w:r>
        <w:t>Primary sources for information include: t</w:t>
      </w:r>
      <w:r w:rsidRPr="009B35EF">
        <w:t>he OECD Key Economic Indicators (KEI) database</w:t>
      </w:r>
      <w:r>
        <w:rPr>
          <w:rStyle w:val="FootnoteReference"/>
        </w:rPr>
        <w:footnoteReference w:id="1"/>
      </w:r>
      <w:r>
        <w:t>; In addition, the Federal Reserve Bank of New York publishes an Economic Indicators Calendar</w:t>
      </w:r>
      <w:r>
        <w:rPr>
          <w:rStyle w:val="FootnoteReference"/>
        </w:rPr>
        <w:footnoteReference w:id="2"/>
      </w:r>
      <w:r>
        <w:t xml:space="preserve"> and the Bureau </w:t>
      </w:r>
      <w:r w:rsidR="00C06386">
        <w:t>of Labor Statistics publishes Economic News Releases.</w:t>
      </w:r>
      <w:r w:rsidR="00C06386">
        <w:rPr>
          <w:rStyle w:val="FootnoteReference"/>
        </w:rPr>
        <w:footnoteReference w:id="3"/>
      </w:r>
    </w:p>
    <w:p w:rsidR="009B35EF" w:rsidRDefault="009B35EF" w:rsidP="00A12D30"/>
    <w:p w:rsidR="00971525" w:rsidRDefault="00971525" w:rsidP="007A5BDA">
      <w:pPr>
        <w:jc w:val="both"/>
      </w:pPr>
      <w:r w:rsidRPr="00971525">
        <w:rPr>
          <w:b/>
        </w:rPr>
        <w:t>Gross Domestic Product</w:t>
      </w:r>
      <w:r>
        <w:t xml:space="preserve"> (</w:t>
      </w:r>
      <w:r w:rsidR="00A12D30">
        <w:t>GDP</w:t>
      </w:r>
      <w:r>
        <w:t>) – Represents the size of the economy, it is t</w:t>
      </w:r>
      <w:r w:rsidRPr="00971525">
        <w:t>he total market value of all the goods and services produced within the borders of a nation during a specified period</w:t>
      </w:r>
      <w:r>
        <w:t xml:space="preserve">.  The growth in GDP is one of the primary indicators used to gauge the health of a country's economy. </w:t>
      </w:r>
    </w:p>
    <w:p w:rsidR="00C06386" w:rsidRDefault="00C06386" w:rsidP="007A5BDA">
      <w:pPr>
        <w:jc w:val="both"/>
      </w:pPr>
    </w:p>
    <w:p w:rsidR="00186BA4" w:rsidRPr="00186BA4" w:rsidRDefault="00186BA4" w:rsidP="00186BA4">
      <w:pPr>
        <w:rPr>
          <w:b/>
        </w:rPr>
      </w:pPr>
      <w:r w:rsidRPr="00C06386">
        <w:rPr>
          <w:b/>
        </w:rPr>
        <w:t>Table</w:t>
      </w:r>
      <w:r>
        <w:rPr>
          <w:b/>
        </w:rPr>
        <w:t xml:space="preserve"> </w:t>
      </w:r>
      <w:r>
        <w:rPr>
          <w:b/>
        </w:rPr>
        <w:t>1</w:t>
      </w:r>
      <w:r w:rsidRPr="00C06386">
        <w:rPr>
          <w:b/>
        </w:rPr>
        <w:t xml:space="preserve">: </w:t>
      </w:r>
      <w:r>
        <w:rPr>
          <w:b/>
        </w:rPr>
        <w:t>G</w:t>
      </w:r>
      <w:r w:rsidR="004B1E59">
        <w:rPr>
          <w:b/>
        </w:rPr>
        <w:t>DP</w:t>
      </w:r>
      <w:r>
        <w:rPr>
          <w:b/>
        </w:rPr>
        <w:t xml:space="preserve"> </w:t>
      </w:r>
      <w:r w:rsidR="004B1E59">
        <w:rPr>
          <w:b/>
        </w:rPr>
        <w:t xml:space="preserve">Top 10 </w:t>
      </w:r>
      <w:r>
        <w:rPr>
          <w:b/>
        </w:rPr>
        <w:t>Countr</w:t>
      </w:r>
      <w:r w:rsidR="004B1E59">
        <w:rPr>
          <w:b/>
        </w:rPr>
        <w:t>ies</w:t>
      </w:r>
      <w:r>
        <w:rPr>
          <w:b/>
        </w:rPr>
        <w:t xml:space="preserve"> 2011 - 2012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991"/>
      </w:tblGrid>
      <w:tr w:rsidR="00C06386" w:rsidTr="00C06386">
        <w:tc>
          <w:tcPr>
            <w:tcW w:w="4788" w:type="dxa"/>
          </w:tcPr>
          <w:tbl>
            <w:tblPr>
              <w:tblStyle w:val="TableGrid"/>
              <w:tblW w:w="0" w:type="auto"/>
              <w:tblLook w:val="04A0" w:firstRow="1" w:lastRow="0" w:firstColumn="1" w:lastColumn="0" w:noHBand="0" w:noVBand="1"/>
            </w:tblPr>
            <w:tblGrid>
              <w:gridCol w:w="927"/>
              <w:gridCol w:w="1705"/>
              <w:gridCol w:w="1727"/>
            </w:tblGrid>
            <w:tr w:rsidR="00C06386" w:rsidTr="00F33983">
              <w:tc>
                <w:tcPr>
                  <w:tcW w:w="927" w:type="dxa"/>
                </w:tcPr>
                <w:p w:rsidR="00C06386" w:rsidRDefault="00C06386" w:rsidP="00F33983">
                  <w:r>
                    <w:t>Ranking</w:t>
                  </w:r>
                </w:p>
              </w:tc>
              <w:tc>
                <w:tcPr>
                  <w:tcW w:w="2015" w:type="dxa"/>
                </w:tcPr>
                <w:p w:rsidR="00C06386" w:rsidRDefault="00C06386" w:rsidP="00F33983">
                  <w:r>
                    <w:t>Economy</w:t>
                  </w:r>
                </w:p>
              </w:tc>
              <w:tc>
                <w:tcPr>
                  <w:tcW w:w="1964" w:type="dxa"/>
                </w:tcPr>
                <w:p w:rsidR="00C06386" w:rsidRDefault="00C06386" w:rsidP="00F33983">
                  <w:r>
                    <w:t>(millions of US dollars) 2012</w:t>
                  </w:r>
                </w:p>
              </w:tc>
            </w:tr>
            <w:tr w:rsidR="00C06386" w:rsidTr="00F33983">
              <w:tc>
                <w:tcPr>
                  <w:tcW w:w="927" w:type="dxa"/>
                </w:tcPr>
                <w:p w:rsidR="00C06386" w:rsidRDefault="00C06386" w:rsidP="00F33983">
                  <w:r>
                    <w:t>1</w:t>
                  </w:r>
                </w:p>
              </w:tc>
              <w:tc>
                <w:tcPr>
                  <w:tcW w:w="2015" w:type="dxa"/>
                </w:tcPr>
                <w:p w:rsidR="00C06386" w:rsidRDefault="00C06386" w:rsidP="00F33983">
                  <w:r>
                    <w:t>United States</w:t>
                  </w:r>
                </w:p>
              </w:tc>
              <w:tc>
                <w:tcPr>
                  <w:tcW w:w="1964" w:type="dxa"/>
                </w:tcPr>
                <w:p w:rsidR="00C06386" w:rsidRDefault="00C06386" w:rsidP="00F33983">
                  <w:pPr>
                    <w:spacing w:before="100" w:after="100"/>
                  </w:pPr>
                  <w:r>
                    <w:t>15,684,800</w:t>
                  </w:r>
                </w:p>
              </w:tc>
            </w:tr>
            <w:tr w:rsidR="00C06386" w:rsidTr="00F33983">
              <w:tc>
                <w:tcPr>
                  <w:tcW w:w="927" w:type="dxa"/>
                </w:tcPr>
                <w:p w:rsidR="00C06386" w:rsidRDefault="00C06386" w:rsidP="00F33983">
                  <w:r>
                    <w:t>2</w:t>
                  </w:r>
                </w:p>
              </w:tc>
              <w:tc>
                <w:tcPr>
                  <w:tcW w:w="2015" w:type="dxa"/>
                </w:tcPr>
                <w:p w:rsidR="00C06386" w:rsidRDefault="00C06386" w:rsidP="00F33983">
                  <w:r>
                    <w:t>China</w:t>
                  </w:r>
                </w:p>
              </w:tc>
              <w:tc>
                <w:tcPr>
                  <w:tcW w:w="1964" w:type="dxa"/>
                </w:tcPr>
                <w:p w:rsidR="00C06386" w:rsidRDefault="00C06386" w:rsidP="00F33983">
                  <w:pPr>
                    <w:spacing w:before="100" w:after="100"/>
                  </w:pPr>
                  <w:r>
                    <w:t>8,227,103</w:t>
                  </w:r>
                </w:p>
              </w:tc>
            </w:tr>
            <w:tr w:rsidR="00C06386" w:rsidTr="00F33983">
              <w:tc>
                <w:tcPr>
                  <w:tcW w:w="927" w:type="dxa"/>
                </w:tcPr>
                <w:p w:rsidR="00C06386" w:rsidRDefault="00C06386" w:rsidP="00F33983">
                  <w:r>
                    <w:t>3</w:t>
                  </w:r>
                </w:p>
              </w:tc>
              <w:tc>
                <w:tcPr>
                  <w:tcW w:w="2015" w:type="dxa"/>
                </w:tcPr>
                <w:p w:rsidR="00C06386" w:rsidRDefault="00C06386" w:rsidP="00F33983">
                  <w:r>
                    <w:t>Japan</w:t>
                  </w:r>
                </w:p>
              </w:tc>
              <w:tc>
                <w:tcPr>
                  <w:tcW w:w="1964" w:type="dxa"/>
                </w:tcPr>
                <w:p w:rsidR="00C06386" w:rsidRDefault="00C06386" w:rsidP="00F33983">
                  <w:pPr>
                    <w:spacing w:before="100" w:after="100"/>
                  </w:pPr>
                  <w:r>
                    <w:t>5,959,718</w:t>
                  </w:r>
                </w:p>
              </w:tc>
            </w:tr>
            <w:tr w:rsidR="00C06386" w:rsidTr="00F33983">
              <w:tc>
                <w:tcPr>
                  <w:tcW w:w="927" w:type="dxa"/>
                </w:tcPr>
                <w:p w:rsidR="00C06386" w:rsidRDefault="00C06386" w:rsidP="00F33983">
                  <w:r>
                    <w:t>4</w:t>
                  </w:r>
                </w:p>
              </w:tc>
              <w:tc>
                <w:tcPr>
                  <w:tcW w:w="2015" w:type="dxa"/>
                </w:tcPr>
                <w:p w:rsidR="00C06386" w:rsidRDefault="00C06386" w:rsidP="00F33983">
                  <w:r>
                    <w:t>Germany</w:t>
                  </w:r>
                </w:p>
              </w:tc>
              <w:tc>
                <w:tcPr>
                  <w:tcW w:w="1964" w:type="dxa"/>
                </w:tcPr>
                <w:p w:rsidR="00C06386" w:rsidRDefault="00C06386" w:rsidP="00F33983">
                  <w:pPr>
                    <w:spacing w:before="100" w:after="100"/>
                  </w:pPr>
                  <w:r>
                    <w:t>3,399,589</w:t>
                  </w:r>
                </w:p>
              </w:tc>
            </w:tr>
            <w:tr w:rsidR="00C06386" w:rsidTr="00F33983">
              <w:tc>
                <w:tcPr>
                  <w:tcW w:w="927" w:type="dxa"/>
                </w:tcPr>
                <w:p w:rsidR="00C06386" w:rsidRDefault="00C06386" w:rsidP="00F33983">
                  <w:r>
                    <w:t>5</w:t>
                  </w:r>
                </w:p>
              </w:tc>
              <w:tc>
                <w:tcPr>
                  <w:tcW w:w="2015" w:type="dxa"/>
                </w:tcPr>
                <w:p w:rsidR="00C06386" w:rsidRDefault="00C06386" w:rsidP="00F33983">
                  <w:r>
                    <w:t>France</w:t>
                  </w:r>
                </w:p>
              </w:tc>
              <w:tc>
                <w:tcPr>
                  <w:tcW w:w="1964" w:type="dxa"/>
                </w:tcPr>
                <w:p w:rsidR="00C06386" w:rsidRDefault="00C06386" w:rsidP="00F33983">
                  <w:pPr>
                    <w:spacing w:before="100" w:after="100"/>
                  </w:pPr>
                  <w:r>
                    <w:t>2,612,878</w:t>
                  </w:r>
                </w:p>
              </w:tc>
            </w:tr>
            <w:tr w:rsidR="00C06386" w:rsidTr="00F33983">
              <w:tc>
                <w:tcPr>
                  <w:tcW w:w="927" w:type="dxa"/>
                </w:tcPr>
                <w:p w:rsidR="00C06386" w:rsidRDefault="00C06386" w:rsidP="00F33983">
                  <w:r>
                    <w:t>6</w:t>
                  </w:r>
                </w:p>
              </w:tc>
              <w:tc>
                <w:tcPr>
                  <w:tcW w:w="2015" w:type="dxa"/>
                </w:tcPr>
                <w:p w:rsidR="00C06386" w:rsidRDefault="00C06386" w:rsidP="00F33983">
                  <w:r>
                    <w:t>United Kingdom</w:t>
                  </w:r>
                </w:p>
              </w:tc>
              <w:tc>
                <w:tcPr>
                  <w:tcW w:w="1964" w:type="dxa"/>
                </w:tcPr>
                <w:p w:rsidR="00C06386" w:rsidRDefault="00C06386" w:rsidP="00F33983">
                  <w:pPr>
                    <w:spacing w:before="100" w:after="100"/>
                  </w:pPr>
                  <w:r>
                    <w:t>2,435,174</w:t>
                  </w:r>
                </w:p>
              </w:tc>
            </w:tr>
            <w:tr w:rsidR="00C06386" w:rsidTr="00F33983">
              <w:tc>
                <w:tcPr>
                  <w:tcW w:w="927" w:type="dxa"/>
                </w:tcPr>
                <w:p w:rsidR="00C06386" w:rsidRDefault="00C06386" w:rsidP="00F33983">
                  <w:r>
                    <w:t>7</w:t>
                  </w:r>
                </w:p>
              </w:tc>
              <w:tc>
                <w:tcPr>
                  <w:tcW w:w="2015" w:type="dxa"/>
                </w:tcPr>
                <w:p w:rsidR="00C06386" w:rsidRDefault="00C06386" w:rsidP="00F33983">
                  <w:r>
                    <w:t>Brazil</w:t>
                  </w:r>
                </w:p>
              </w:tc>
              <w:tc>
                <w:tcPr>
                  <w:tcW w:w="1964" w:type="dxa"/>
                </w:tcPr>
                <w:p w:rsidR="00C06386" w:rsidRDefault="00C06386" w:rsidP="00F33983">
                  <w:pPr>
                    <w:spacing w:before="100" w:after="100"/>
                  </w:pPr>
                  <w:r>
                    <w:t>2,252,664</w:t>
                  </w:r>
                </w:p>
              </w:tc>
            </w:tr>
            <w:tr w:rsidR="00C06386" w:rsidTr="00F33983">
              <w:tc>
                <w:tcPr>
                  <w:tcW w:w="927" w:type="dxa"/>
                </w:tcPr>
                <w:p w:rsidR="00C06386" w:rsidRDefault="00C06386" w:rsidP="00F33983">
                  <w:r>
                    <w:t>8</w:t>
                  </w:r>
                </w:p>
              </w:tc>
              <w:tc>
                <w:tcPr>
                  <w:tcW w:w="2015" w:type="dxa"/>
                </w:tcPr>
                <w:p w:rsidR="00C06386" w:rsidRDefault="00C06386" w:rsidP="00F33983">
                  <w:r>
                    <w:t>Russia</w:t>
                  </w:r>
                </w:p>
              </w:tc>
              <w:tc>
                <w:tcPr>
                  <w:tcW w:w="1964" w:type="dxa"/>
                </w:tcPr>
                <w:p w:rsidR="00C06386" w:rsidRDefault="00C06386" w:rsidP="00F33983">
                  <w:pPr>
                    <w:spacing w:before="100" w:after="100"/>
                  </w:pPr>
                  <w:r>
                    <w:t>2,014,775</w:t>
                  </w:r>
                </w:p>
              </w:tc>
            </w:tr>
            <w:tr w:rsidR="00C06386" w:rsidTr="00F33983">
              <w:tc>
                <w:tcPr>
                  <w:tcW w:w="927" w:type="dxa"/>
                </w:tcPr>
                <w:p w:rsidR="00C06386" w:rsidRDefault="00C06386" w:rsidP="00F33983">
                  <w:r>
                    <w:t>9</w:t>
                  </w:r>
                </w:p>
              </w:tc>
              <w:tc>
                <w:tcPr>
                  <w:tcW w:w="2015" w:type="dxa"/>
                </w:tcPr>
                <w:p w:rsidR="00C06386" w:rsidRDefault="00C06386" w:rsidP="00F33983">
                  <w:r>
                    <w:t>Italy</w:t>
                  </w:r>
                </w:p>
              </w:tc>
              <w:tc>
                <w:tcPr>
                  <w:tcW w:w="1964" w:type="dxa"/>
                </w:tcPr>
                <w:p w:rsidR="00C06386" w:rsidRDefault="00C06386" w:rsidP="00F33983">
                  <w:pPr>
                    <w:spacing w:before="100" w:after="100"/>
                  </w:pPr>
                  <w:r>
                    <w:t>2,013,263</w:t>
                  </w:r>
                </w:p>
              </w:tc>
            </w:tr>
            <w:tr w:rsidR="00C06386" w:rsidTr="00F33983">
              <w:tc>
                <w:tcPr>
                  <w:tcW w:w="927" w:type="dxa"/>
                </w:tcPr>
                <w:p w:rsidR="00C06386" w:rsidRDefault="00C06386" w:rsidP="00F33983">
                  <w:r>
                    <w:t>10</w:t>
                  </w:r>
                </w:p>
              </w:tc>
              <w:tc>
                <w:tcPr>
                  <w:tcW w:w="2015" w:type="dxa"/>
                </w:tcPr>
                <w:p w:rsidR="00C06386" w:rsidRDefault="00C06386" w:rsidP="00F33983">
                  <w:r>
                    <w:t>India</w:t>
                  </w:r>
                </w:p>
              </w:tc>
              <w:tc>
                <w:tcPr>
                  <w:tcW w:w="1964" w:type="dxa"/>
                </w:tcPr>
                <w:p w:rsidR="00C06386" w:rsidRDefault="00C06386" w:rsidP="00F33983">
                  <w:pPr>
                    <w:spacing w:before="100" w:after="100"/>
                  </w:pPr>
                  <w:r>
                    <w:t>1,841,717</w:t>
                  </w:r>
                </w:p>
              </w:tc>
            </w:tr>
          </w:tbl>
          <w:p w:rsidR="00C06386" w:rsidRDefault="00C06386" w:rsidP="00971525"/>
        </w:tc>
        <w:tc>
          <w:tcPr>
            <w:tcW w:w="4788" w:type="dxa"/>
          </w:tcPr>
          <w:tbl>
            <w:tblPr>
              <w:tblStyle w:val="TableGrid"/>
              <w:tblpPr w:leftFromText="180" w:rightFromText="180" w:vertAnchor="text" w:horzAnchor="page" w:tblpX="6424" w:tblpY="-3347"/>
              <w:tblW w:w="4765" w:type="dxa"/>
              <w:tblLook w:val="04A0" w:firstRow="1" w:lastRow="0" w:firstColumn="1" w:lastColumn="0" w:noHBand="0" w:noVBand="1"/>
            </w:tblPr>
            <w:tblGrid>
              <w:gridCol w:w="927"/>
              <w:gridCol w:w="1829"/>
              <w:gridCol w:w="2009"/>
            </w:tblGrid>
            <w:tr w:rsidR="00C06386" w:rsidTr="00C06386">
              <w:trPr>
                <w:cantSplit/>
              </w:trPr>
              <w:tc>
                <w:tcPr>
                  <w:tcW w:w="927" w:type="dxa"/>
                </w:tcPr>
                <w:p w:rsidR="00C06386" w:rsidRDefault="00C06386" w:rsidP="00C06386">
                  <w:r>
                    <w:t>Ranking</w:t>
                  </w:r>
                </w:p>
              </w:tc>
              <w:tc>
                <w:tcPr>
                  <w:tcW w:w="1829" w:type="dxa"/>
                </w:tcPr>
                <w:p w:rsidR="00C06386" w:rsidRDefault="00C06386" w:rsidP="00C06386">
                  <w:r>
                    <w:t>Economy</w:t>
                  </w:r>
                </w:p>
              </w:tc>
              <w:tc>
                <w:tcPr>
                  <w:tcW w:w="2009" w:type="dxa"/>
                </w:tcPr>
                <w:p w:rsidR="00C06386" w:rsidRDefault="00C06386" w:rsidP="00C06386">
                  <w:r>
                    <w:t>(millions of US dollars) 2011</w:t>
                  </w:r>
                </w:p>
              </w:tc>
            </w:tr>
            <w:tr w:rsidR="00C06386" w:rsidTr="00C06386">
              <w:trPr>
                <w:cantSplit/>
              </w:trPr>
              <w:tc>
                <w:tcPr>
                  <w:tcW w:w="927" w:type="dxa"/>
                </w:tcPr>
                <w:p w:rsidR="00C06386" w:rsidRDefault="00C06386" w:rsidP="00C06386">
                  <w:r>
                    <w:t>1</w:t>
                  </w:r>
                </w:p>
              </w:tc>
              <w:tc>
                <w:tcPr>
                  <w:tcW w:w="1829" w:type="dxa"/>
                </w:tcPr>
                <w:p w:rsidR="00C06386" w:rsidRDefault="00C06386" w:rsidP="00C06386">
                  <w:r>
                    <w:t>United States</w:t>
                  </w:r>
                </w:p>
              </w:tc>
              <w:tc>
                <w:tcPr>
                  <w:tcW w:w="2009" w:type="dxa"/>
                </w:tcPr>
                <w:p w:rsidR="00C06386" w:rsidRDefault="00C06386" w:rsidP="00C06386">
                  <w:r>
                    <w:t>14,991,300</w:t>
                  </w:r>
                </w:p>
              </w:tc>
            </w:tr>
            <w:tr w:rsidR="00C06386" w:rsidTr="00C06386">
              <w:trPr>
                <w:cantSplit/>
              </w:trPr>
              <w:tc>
                <w:tcPr>
                  <w:tcW w:w="927" w:type="dxa"/>
                </w:tcPr>
                <w:p w:rsidR="00C06386" w:rsidRDefault="00C06386" w:rsidP="00C06386">
                  <w:r>
                    <w:t>2</w:t>
                  </w:r>
                </w:p>
              </w:tc>
              <w:tc>
                <w:tcPr>
                  <w:tcW w:w="1829" w:type="dxa"/>
                </w:tcPr>
                <w:p w:rsidR="00C06386" w:rsidRDefault="00C06386" w:rsidP="00C06386">
                  <w:r>
                    <w:t>China</w:t>
                  </w:r>
                </w:p>
              </w:tc>
              <w:tc>
                <w:tcPr>
                  <w:tcW w:w="2009" w:type="dxa"/>
                </w:tcPr>
                <w:p w:rsidR="00C06386" w:rsidRDefault="00C06386" w:rsidP="00C06386">
                  <w:r>
                    <w:t>7,321,935</w:t>
                  </w:r>
                </w:p>
              </w:tc>
            </w:tr>
            <w:tr w:rsidR="00C06386" w:rsidTr="00C06386">
              <w:trPr>
                <w:cantSplit/>
              </w:trPr>
              <w:tc>
                <w:tcPr>
                  <w:tcW w:w="927" w:type="dxa"/>
                </w:tcPr>
                <w:p w:rsidR="00C06386" w:rsidRDefault="00C06386" w:rsidP="00C06386">
                  <w:r>
                    <w:t>3</w:t>
                  </w:r>
                </w:p>
              </w:tc>
              <w:tc>
                <w:tcPr>
                  <w:tcW w:w="1829" w:type="dxa"/>
                </w:tcPr>
                <w:p w:rsidR="00C06386" w:rsidRDefault="00C06386" w:rsidP="00C06386">
                  <w:r>
                    <w:t>Japan</w:t>
                  </w:r>
                </w:p>
              </w:tc>
              <w:tc>
                <w:tcPr>
                  <w:tcW w:w="2009" w:type="dxa"/>
                </w:tcPr>
                <w:p w:rsidR="00C06386" w:rsidRDefault="00C06386" w:rsidP="00C06386">
                  <w:r>
                    <w:t>5,896,794</w:t>
                  </w:r>
                </w:p>
              </w:tc>
            </w:tr>
            <w:tr w:rsidR="00C06386" w:rsidTr="00C06386">
              <w:trPr>
                <w:cantSplit/>
              </w:trPr>
              <w:tc>
                <w:tcPr>
                  <w:tcW w:w="927" w:type="dxa"/>
                </w:tcPr>
                <w:p w:rsidR="00C06386" w:rsidRDefault="00C06386" w:rsidP="00C06386">
                  <w:r>
                    <w:t>4</w:t>
                  </w:r>
                </w:p>
              </w:tc>
              <w:tc>
                <w:tcPr>
                  <w:tcW w:w="1829" w:type="dxa"/>
                </w:tcPr>
                <w:p w:rsidR="00C06386" w:rsidRDefault="00C06386" w:rsidP="00C06386">
                  <w:r>
                    <w:t>Germany</w:t>
                  </w:r>
                </w:p>
              </w:tc>
              <w:tc>
                <w:tcPr>
                  <w:tcW w:w="2009" w:type="dxa"/>
                </w:tcPr>
                <w:p w:rsidR="00C06386" w:rsidRDefault="00C06386" w:rsidP="00C06386">
                  <w:r>
                    <w:t>3,600,833</w:t>
                  </w:r>
                </w:p>
              </w:tc>
            </w:tr>
            <w:tr w:rsidR="00C06386" w:rsidTr="00C06386">
              <w:trPr>
                <w:cantSplit/>
              </w:trPr>
              <w:tc>
                <w:tcPr>
                  <w:tcW w:w="927" w:type="dxa"/>
                </w:tcPr>
                <w:p w:rsidR="00C06386" w:rsidRDefault="00C06386" w:rsidP="00C06386">
                  <w:r>
                    <w:t>5</w:t>
                  </w:r>
                </w:p>
              </w:tc>
              <w:tc>
                <w:tcPr>
                  <w:tcW w:w="1829" w:type="dxa"/>
                </w:tcPr>
                <w:p w:rsidR="00C06386" w:rsidRDefault="00C06386" w:rsidP="00C06386">
                  <w:r>
                    <w:t>France</w:t>
                  </w:r>
                </w:p>
              </w:tc>
              <w:tc>
                <w:tcPr>
                  <w:tcW w:w="2009" w:type="dxa"/>
                </w:tcPr>
                <w:p w:rsidR="00C06386" w:rsidRDefault="00C06386" w:rsidP="00C06386">
                  <w:r>
                    <w:t>2,779,719</w:t>
                  </w:r>
                </w:p>
              </w:tc>
            </w:tr>
            <w:tr w:rsidR="00C06386" w:rsidTr="00C06386">
              <w:trPr>
                <w:cantSplit/>
              </w:trPr>
              <w:tc>
                <w:tcPr>
                  <w:tcW w:w="927" w:type="dxa"/>
                </w:tcPr>
                <w:p w:rsidR="00C06386" w:rsidRDefault="00C06386" w:rsidP="00C06386">
                  <w:r>
                    <w:t>6</w:t>
                  </w:r>
                </w:p>
              </w:tc>
              <w:tc>
                <w:tcPr>
                  <w:tcW w:w="1829" w:type="dxa"/>
                </w:tcPr>
                <w:p w:rsidR="00C06386" w:rsidRDefault="00C06386" w:rsidP="00C06386">
                  <w:r>
                    <w:t>Brazil</w:t>
                  </w:r>
                </w:p>
              </w:tc>
              <w:tc>
                <w:tcPr>
                  <w:tcW w:w="2009" w:type="dxa"/>
                </w:tcPr>
                <w:p w:rsidR="00C06386" w:rsidRDefault="00C06386" w:rsidP="00C06386">
                  <w:r>
                    <w:t>2,476,652</w:t>
                  </w:r>
                </w:p>
              </w:tc>
            </w:tr>
            <w:tr w:rsidR="00C06386" w:rsidTr="00C06386">
              <w:trPr>
                <w:cantSplit/>
              </w:trPr>
              <w:tc>
                <w:tcPr>
                  <w:tcW w:w="927" w:type="dxa"/>
                </w:tcPr>
                <w:p w:rsidR="00C06386" w:rsidRDefault="00C06386" w:rsidP="00C06386">
                  <w:r>
                    <w:t>7</w:t>
                  </w:r>
                </w:p>
              </w:tc>
              <w:tc>
                <w:tcPr>
                  <w:tcW w:w="1829" w:type="dxa"/>
                </w:tcPr>
                <w:p w:rsidR="00C06386" w:rsidRDefault="00C06386" w:rsidP="00C06386">
                  <w:r>
                    <w:t>United Kingdom</w:t>
                  </w:r>
                </w:p>
              </w:tc>
              <w:tc>
                <w:tcPr>
                  <w:tcW w:w="2009" w:type="dxa"/>
                </w:tcPr>
                <w:p w:rsidR="00C06386" w:rsidRDefault="00C06386" w:rsidP="00C06386">
                  <w:r>
                    <w:t>2,444,883</w:t>
                  </w:r>
                </w:p>
              </w:tc>
            </w:tr>
            <w:tr w:rsidR="00C06386" w:rsidTr="00C06386">
              <w:trPr>
                <w:cantSplit/>
              </w:trPr>
              <w:tc>
                <w:tcPr>
                  <w:tcW w:w="927" w:type="dxa"/>
                </w:tcPr>
                <w:p w:rsidR="00C06386" w:rsidRDefault="00C06386" w:rsidP="00C06386">
                  <w:r>
                    <w:t>8</w:t>
                  </w:r>
                </w:p>
              </w:tc>
              <w:tc>
                <w:tcPr>
                  <w:tcW w:w="1829" w:type="dxa"/>
                </w:tcPr>
                <w:p w:rsidR="00C06386" w:rsidRDefault="00C06386" w:rsidP="00C06386">
                  <w:r>
                    <w:t>Italy</w:t>
                  </w:r>
                </w:p>
              </w:tc>
              <w:tc>
                <w:tcPr>
                  <w:tcW w:w="2009" w:type="dxa"/>
                </w:tcPr>
                <w:p w:rsidR="00C06386" w:rsidRDefault="00C06386" w:rsidP="00C06386">
                  <w:r>
                    <w:t>2,192,357</w:t>
                  </w:r>
                </w:p>
              </w:tc>
            </w:tr>
            <w:tr w:rsidR="00C06386" w:rsidTr="00C06386">
              <w:trPr>
                <w:cantSplit/>
              </w:trPr>
              <w:tc>
                <w:tcPr>
                  <w:tcW w:w="927" w:type="dxa"/>
                </w:tcPr>
                <w:p w:rsidR="00C06386" w:rsidRDefault="00C06386" w:rsidP="00C06386">
                  <w:r>
                    <w:t>9</w:t>
                  </w:r>
                </w:p>
              </w:tc>
              <w:tc>
                <w:tcPr>
                  <w:tcW w:w="1829" w:type="dxa"/>
                </w:tcPr>
                <w:p w:rsidR="00C06386" w:rsidRDefault="00C06386" w:rsidP="00C06386">
                  <w:r>
                    <w:t>Russia</w:t>
                  </w:r>
                </w:p>
              </w:tc>
              <w:tc>
                <w:tcPr>
                  <w:tcW w:w="2009" w:type="dxa"/>
                </w:tcPr>
                <w:p w:rsidR="00C06386" w:rsidRDefault="00C06386" w:rsidP="00C06386">
                  <w:r>
                    <w:t>1,899,085</w:t>
                  </w:r>
                </w:p>
              </w:tc>
            </w:tr>
            <w:tr w:rsidR="00C06386" w:rsidTr="00C06386">
              <w:trPr>
                <w:cantSplit/>
              </w:trPr>
              <w:tc>
                <w:tcPr>
                  <w:tcW w:w="927" w:type="dxa"/>
                </w:tcPr>
                <w:p w:rsidR="00C06386" w:rsidRDefault="00C06386" w:rsidP="00C06386">
                  <w:r>
                    <w:t>10</w:t>
                  </w:r>
                </w:p>
              </w:tc>
              <w:tc>
                <w:tcPr>
                  <w:tcW w:w="1829" w:type="dxa"/>
                </w:tcPr>
                <w:p w:rsidR="00C06386" w:rsidRDefault="00C06386" w:rsidP="00C06386">
                  <w:r>
                    <w:t>India</w:t>
                  </w:r>
                </w:p>
              </w:tc>
              <w:tc>
                <w:tcPr>
                  <w:tcW w:w="2009" w:type="dxa"/>
                </w:tcPr>
                <w:p w:rsidR="00C06386" w:rsidRDefault="00C06386" w:rsidP="00C06386">
                  <w:r>
                    <w:t>1,872,845</w:t>
                  </w:r>
                </w:p>
              </w:tc>
            </w:tr>
          </w:tbl>
          <w:p w:rsidR="00C06386" w:rsidRDefault="00C06386" w:rsidP="00971525"/>
        </w:tc>
      </w:tr>
    </w:tbl>
    <w:p w:rsidR="00971525" w:rsidRDefault="00971525" w:rsidP="00971525">
      <w:r>
        <w:t>S</w:t>
      </w:r>
      <w:r w:rsidR="00C06386">
        <w:t xml:space="preserve">ource: World Bank </w:t>
      </w:r>
      <w:r w:rsidRPr="00971525">
        <w:t>http://databank.worldbank.org/data/download/GDP.pdf</w:t>
      </w:r>
    </w:p>
    <w:p w:rsidR="00971525" w:rsidRDefault="00971525" w:rsidP="00971525"/>
    <w:p w:rsidR="00971525" w:rsidRDefault="00390289" w:rsidP="007A5BDA">
      <w:pPr>
        <w:jc w:val="both"/>
      </w:pPr>
      <w:r>
        <w:t>GDP can be calculated</w:t>
      </w:r>
      <w:r w:rsidR="00971525">
        <w:t xml:space="preserve"> in one of two ways: </w:t>
      </w:r>
      <w:r>
        <w:t xml:space="preserve">by the </w:t>
      </w:r>
      <w:r w:rsidRPr="00390289">
        <w:rPr>
          <w:i/>
        </w:rPr>
        <w:t>income approach</w:t>
      </w:r>
      <w:r>
        <w:t xml:space="preserve"> </w:t>
      </w:r>
      <w:proofErr w:type="gramStart"/>
      <w:r>
        <w:t>GDP(</w:t>
      </w:r>
      <w:proofErr w:type="gramEnd"/>
      <w:r>
        <w:t xml:space="preserve">I) adding up total compensation to employees, gross profits for all firms (both incorporated and non-incorporated), and taxes (minus subsidies) </w:t>
      </w:r>
      <w:r w:rsidR="00971525">
        <w:t xml:space="preserve">or by </w:t>
      </w:r>
      <w:r>
        <w:t xml:space="preserve">the </w:t>
      </w:r>
      <w:r w:rsidRPr="00390289">
        <w:rPr>
          <w:i/>
        </w:rPr>
        <w:t>expenditure method</w:t>
      </w:r>
      <w:r>
        <w:t xml:space="preserve"> </w:t>
      </w:r>
      <w:r w:rsidR="00971525">
        <w:t xml:space="preserve">adding up </w:t>
      </w:r>
      <w:r>
        <w:t>total consumption, investment, government spending and net exports C+I+G+(X-M)</w:t>
      </w:r>
      <w:r w:rsidR="00971525">
        <w:t xml:space="preserve">, both measures should arrive at roughly the same total. </w:t>
      </w:r>
    </w:p>
    <w:p w:rsidR="008A7BC6" w:rsidRDefault="008A7BC6" w:rsidP="007A5BDA">
      <w:pPr>
        <w:jc w:val="both"/>
      </w:pPr>
    </w:p>
    <w:tbl>
      <w:tblPr>
        <w:tblW w:w="3690" w:type="pct"/>
        <w:tblCellSpacing w:w="0" w:type="dxa"/>
        <w:tblBorders>
          <w:top w:val="outset" w:sz="6" w:space="0" w:color="999999"/>
          <w:left w:val="outset" w:sz="6" w:space="0" w:color="999999"/>
          <w:bottom w:val="outset" w:sz="6" w:space="0" w:color="999999"/>
          <w:right w:val="outset" w:sz="6" w:space="0" w:color="999999"/>
        </w:tblBorders>
        <w:tblCellMar>
          <w:top w:w="30" w:type="dxa"/>
          <w:left w:w="30" w:type="dxa"/>
          <w:bottom w:w="30" w:type="dxa"/>
          <w:right w:w="30" w:type="dxa"/>
        </w:tblCellMar>
        <w:tblLook w:val="04A0" w:firstRow="1" w:lastRow="0" w:firstColumn="1" w:lastColumn="0" w:noHBand="0" w:noVBand="1"/>
      </w:tblPr>
      <w:tblGrid>
        <w:gridCol w:w="2249"/>
        <w:gridCol w:w="4725"/>
      </w:tblGrid>
      <w:tr w:rsidR="008A7BC6" w:rsidRPr="0008724E" w:rsidTr="00186BA4">
        <w:trPr>
          <w:tblCellSpacing w:w="0" w:type="dxa"/>
        </w:trPr>
        <w:tc>
          <w:tcPr>
            <w:tcW w:w="2249" w:type="dxa"/>
            <w:tcBorders>
              <w:top w:val="outset" w:sz="6" w:space="0" w:color="999999"/>
              <w:left w:val="outset" w:sz="6" w:space="0" w:color="999999"/>
              <w:bottom w:val="outset" w:sz="6" w:space="0" w:color="999999"/>
              <w:right w:val="outset" w:sz="6" w:space="0" w:color="999999"/>
            </w:tcBorders>
            <w:hideMark/>
          </w:tcPr>
          <w:p w:rsidR="008A7BC6" w:rsidRPr="0008724E" w:rsidRDefault="008A7BC6" w:rsidP="008A7BC6">
            <w:pPr>
              <w:rPr>
                <w:rFonts w:eastAsia="Times New Roman"/>
                <w:color w:val="111111"/>
              </w:rPr>
            </w:pPr>
            <w:r w:rsidRPr="0008724E">
              <w:rPr>
                <w:rFonts w:eastAsia="Times New Roman"/>
                <w:b/>
                <w:bCs/>
                <w:color w:val="111111"/>
              </w:rPr>
              <w:t>Release Date:</w:t>
            </w:r>
          </w:p>
        </w:tc>
        <w:tc>
          <w:tcPr>
            <w:tcW w:w="4725" w:type="dxa"/>
            <w:tcBorders>
              <w:top w:val="outset" w:sz="6" w:space="0" w:color="999999"/>
              <w:left w:val="outset" w:sz="6" w:space="0" w:color="999999"/>
              <w:bottom w:val="outset" w:sz="6" w:space="0" w:color="999999"/>
              <w:right w:val="outset" w:sz="6" w:space="0" w:color="999999"/>
            </w:tcBorders>
            <w:vAlign w:val="center"/>
            <w:hideMark/>
          </w:tcPr>
          <w:p w:rsidR="008A7BC6" w:rsidRPr="0008724E" w:rsidRDefault="008A7BC6" w:rsidP="008A7BC6">
            <w:pPr>
              <w:rPr>
                <w:rFonts w:eastAsia="Times New Roman"/>
                <w:color w:val="111111"/>
              </w:rPr>
            </w:pPr>
            <w:r w:rsidRPr="0008724E">
              <w:rPr>
                <w:rFonts w:eastAsia="Times New Roman"/>
                <w:color w:val="111111"/>
              </w:rPr>
              <w:t>Advance release: four weeks after quarter ends;</w:t>
            </w:r>
            <w:r w:rsidRPr="0008724E">
              <w:rPr>
                <w:rFonts w:eastAsia="Times New Roman"/>
                <w:color w:val="111111"/>
              </w:rPr>
              <w:br/>
              <w:t>Final release: three months after quarter ends</w:t>
            </w:r>
          </w:p>
        </w:tc>
      </w:tr>
      <w:tr w:rsidR="008A7BC6" w:rsidRPr="0008724E" w:rsidTr="00186BA4">
        <w:trPr>
          <w:tblCellSpacing w:w="0" w:type="dxa"/>
        </w:trPr>
        <w:tc>
          <w:tcPr>
            <w:tcW w:w="2249" w:type="dxa"/>
            <w:tcBorders>
              <w:top w:val="outset" w:sz="6" w:space="0" w:color="999999"/>
              <w:left w:val="outset" w:sz="6" w:space="0" w:color="999999"/>
              <w:bottom w:val="outset" w:sz="6" w:space="0" w:color="999999"/>
              <w:right w:val="outset" w:sz="6" w:space="0" w:color="999999"/>
            </w:tcBorders>
            <w:hideMark/>
          </w:tcPr>
          <w:p w:rsidR="008A7BC6" w:rsidRPr="0008724E" w:rsidRDefault="008A7BC6" w:rsidP="008A7BC6">
            <w:pPr>
              <w:rPr>
                <w:rFonts w:eastAsia="Times New Roman"/>
                <w:color w:val="111111"/>
              </w:rPr>
            </w:pPr>
            <w:r w:rsidRPr="0008724E">
              <w:rPr>
                <w:rFonts w:eastAsia="Times New Roman"/>
                <w:b/>
                <w:bCs/>
                <w:color w:val="111111"/>
              </w:rPr>
              <w:t>Coverage:</w:t>
            </w:r>
          </w:p>
        </w:tc>
        <w:tc>
          <w:tcPr>
            <w:tcW w:w="4725" w:type="dxa"/>
            <w:tcBorders>
              <w:top w:val="outset" w:sz="6" w:space="0" w:color="999999"/>
              <w:left w:val="outset" w:sz="6" w:space="0" w:color="999999"/>
              <w:bottom w:val="outset" w:sz="6" w:space="0" w:color="999999"/>
              <w:right w:val="outset" w:sz="6" w:space="0" w:color="999999"/>
            </w:tcBorders>
            <w:vAlign w:val="center"/>
            <w:hideMark/>
          </w:tcPr>
          <w:p w:rsidR="008A7BC6" w:rsidRPr="0008724E" w:rsidRDefault="008A7BC6" w:rsidP="008A7BC6">
            <w:pPr>
              <w:rPr>
                <w:rFonts w:eastAsia="Times New Roman"/>
                <w:color w:val="111111"/>
              </w:rPr>
            </w:pPr>
            <w:r w:rsidRPr="0008724E">
              <w:rPr>
                <w:rFonts w:eastAsia="Times New Roman"/>
                <w:color w:val="111111"/>
              </w:rPr>
              <w:t>Previous quarter</w:t>
            </w:r>
          </w:p>
        </w:tc>
      </w:tr>
      <w:tr w:rsidR="008A7BC6" w:rsidRPr="0008724E" w:rsidTr="00186BA4">
        <w:trPr>
          <w:tblCellSpacing w:w="0" w:type="dxa"/>
        </w:trPr>
        <w:tc>
          <w:tcPr>
            <w:tcW w:w="2249" w:type="dxa"/>
            <w:tcBorders>
              <w:top w:val="outset" w:sz="6" w:space="0" w:color="999999"/>
              <w:left w:val="outset" w:sz="6" w:space="0" w:color="999999"/>
              <w:bottom w:val="outset" w:sz="6" w:space="0" w:color="999999"/>
              <w:right w:val="outset" w:sz="6" w:space="0" w:color="999999"/>
            </w:tcBorders>
            <w:hideMark/>
          </w:tcPr>
          <w:p w:rsidR="008A7BC6" w:rsidRPr="0008724E" w:rsidRDefault="008A7BC6" w:rsidP="008A7BC6">
            <w:pPr>
              <w:rPr>
                <w:rFonts w:eastAsia="Times New Roman"/>
                <w:color w:val="111111"/>
              </w:rPr>
            </w:pPr>
            <w:r w:rsidRPr="0008724E">
              <w:rPr>
                <w:rFonts w:eastAsia="Times New Roman"/>
                <w:b/>
                <w:bCs/>
                <w:color w:val="111111"/>
              </w:rPr>
              <w:t>Released By:</w:t>
            </w:r>
          </w:p>
        </w:tc>
        <w:tc>
          <w:tcPr>
            <w:tcW w:w="4725" w:type="dxa"/>
            <w:tcBorders>
              <w:top w:val="outset" w:sz="6" w:space="0" w:color="999999"/>
              <w:left w:val="outset" w:sz="6" w:space="0" w:color="999999"/>
              <w:bottom w:val="outset" w:sz="6" w:space="0" w:color="999999"/>
              <w:right w:val="outset" w:sz="6" w:space="0" w:color="999999"/>
            </w:tcBorders>
            <w:vAlign w:val="center"/>
            <w:hideMark/>
          </w:tcPr>
          <w:p w:rsidR="008A7BC6" w:rsidRPr="0008724E" w:rsidRDefault="009C2AA3" w:rsidP="008A7BC6">
            <w:pPr>
              <w:rPr>
                <w:rFonts w:eastAsia="Times New Roman"/>
                <w:color w:val="111111"/>
              </w:rPr>
            </w:pPr>
            <w:hyperlink r:id="rId9" w:tgtFrame="_blank" w:history="1">
              <w:r w:rsidR="008A7BC6" w:rsidRPr="00130C78">
                <w:rPr>
                  <w:rFonts w:eastAsia="Times New Roman"/>
                </w:rPr>
                <w:t>Bureau of Economic Analysis</w:t>
              </w:r>
            </w:hyperlink>
            <w:r w:rsidR="008A7BC6" w:rsidRPr="00130C78">
              <w:rPr>
                <w:rFonts w:eastAsia="Times New Roman"/>
              </w:rPr>
              <w:t xml:space="preserve"> </w:t>
            </w:r>
            <w:r w:rsidR="008A7BC6" w:rsidRPr="0008724E">
              <w:rPr>
                <w:rFonts w:eastAsia="Times New Roman"/>
                <w:color w:val="111111"/>
              </w:rPr>
              <w:t>(BEA)</w:t>
            </w:r>
          </w:p>
        </w:tc>
      </w:tr>
      <w:tr w:rsidR="008A7BC6" w:rsidRPr="0008724E" w:rsidTr="00186BA4">
        <w:trPr>
          <w:tblCellSpacing w:w="0" w:type="dxa"/>
        </w:trPr>
        <w:tc>
          <w:tcPr>
            <w:tcW w:w="2249" w:type="dxa"/>
            <w:tcBorders>
              <w:top w:val="outset" w:sz="6" w:space="0" w:color="999999"/>
              <w:left w:val="outset" w:sz="6" w:space="0" w:color="999999"/>
              <w:bottom w:val="outset" w:sz="6" w:space="0" w:color="999999"/>
              <w:right w:val="outset" w:sz="6" w:space="0" w:color="999999"/>
            </w:tcBorders>
            <w:hideMark/>
          </w:tcPr>
          <w:p w:rsidR="008A7BC6" w:rsidRPr="0008724E" w:rsidRDefault="008A7BC6" w:rsidP="008A7BC6">
            <w:pPr>
              <w:rPr>
                <w:rFonts w:eastAsia="Times New Roman"/>
                <w:color w:val="111111"/>
              </w:rPr>
            </w:pPr>
            <w:r w:rsidRPr="0008724E">
              <w:rPr>
                <w:rFonts w:eastAsia="Times New Roman"/>
                <w:b/>
                <w:bCs/>
                <w:color w:val="111111"/>
              </w:rPr>
              <w:t>Latest Release:</w:t>
            </w:r>
          </w:p>
        </w:tc>
        <w:tc>
          <w:tcPr>
            <w:tcW w:w="4725" w:type="dxa"/>
            <w:tcBorders>
              <w:top w:val="outset" w:sz="6" w:space="0" w:color="999999"/>
              <w:left w:val="outset" w:sz="6" w:space="0" w:color="999999"/>
              <w:bottom w:val="outset" w:sz="6" w:space="0" w:color="999999"/>
              <w:right w:val="outset" w:sz="6" w:space="0" w:color="999999"/>
            </w:tcBorders>
            <w:vAlign w:val="center"/>
            <w:hideMark/>
          </w:tcPr>
          <w:p w:rsidR="008A7BC6" w:rsidRPr="0008724E" w:rsidRDefault="008A7BC6" w:rsidP="008A7BC6">
            <w:pPr>
              <w:rPr>
                <w:rFonts w:eastAsia="Times New Roman"/>
                <w:color w:val="111111"/>
              </w:rPr>
            </w:pPr>
            <w:r w:rsidRPr="00130C78">
              <w:rPr>
                <w:rFonts w:eastAsia="Times New Roman"/>
              </w:rPr>
              <w:t>http://www.bea.doc.gov/bea/dn1.htm</w:t>
            </w:r>
          </w:p>
        </w:tc>
      </w:tr>
    </w:tbl>
    <w:p w:rsidR="00971525" w:rsidRDefault="00A23DE8" w:rsidP="00971525">
      <w:r>
        <w:t xml:space="preserve">Source: </w:t>
      </w:r>
      <w:proofErr w:type="spellStart"/>
      <w:r>
        <w:t>Investo</w:t>
      </w:r>
      <w:r w:rsidR="008A7BC6">
        <w:t>pedia</w:t>
      </w:r>
      <w:proofErr w:type="spellEnd"/>
      <w:r w:rsidR="008A7BC6">
        <w:t xml:space="preserve"> “</w:t>
      </w:r>
      <w:r w:rsidR="008A7BC6" w:rsidRPr="008A7BC6">
        <w:t>Economic Indicators: Gross Domestic Product (GDP)</w:t>
      </w:r>
      <w:r w:rsidR="008A7BC6">
        <w:t>”</w:t>
      </w:r>
    </w:p>
    <w:p w:rsidR="008A7BC6" w:rsidRDefault="008A7BC6" w:rsidP="00971525"/>
    <w:p w:rsidR="00A12D30" w:rsidRDefault="007D6042" w:rsidP="00567164">
      <w:pPr>
        <w:jc w:val="both"/>
      </w:pPr>
      <w:r>
        <w:rPr>
          <w:b/>
        </w:rPr>
        <w:lastRenderedPageBreak/>
        <w:t>Une</w:t>
      </w:r>
      <w:r w:rsidR="00A12D30" w:rsidRPr="007A5BDA">
        <w:rPr>
          <w:b/>
        </w:rPr>
        <w:t>mployment</w:t>
      </w:r>
      <w:r>
        <w:rPr>
          <w:b/>
        </w:rPr>
        <w:t xml:space="preserve"> Rate</w:t>
      </w:r>
      <w:r w:rsidR="007A5BDA">
        <w:rPr>
          <w:b/>
        </w:rPr>
        <w:t xml:space="preserve"> </w:t>
      </w:r>
      <w:r>
        <w:t xml:space="preserve">- </w:t>
      </w:r>
      <w:r w:rsidR="00245531" w:rsidRPr="00245531">
        <w:t>The percentage of the total labor force that is unemployed but actively seeking employment and willing to work</w:t>
      </w:r>
      <w:r w:rsidR="00C06386">
        <w:t>.</w:t>
      </w:r>
      <w:r w:rsidR="00245531">
        <w:rPr>
          <w:rStyle w:val="FootnoteReference"/>
        </w:rPr>
        <w:footnoteReference w:id="4"/>
      </w:r>
      <w:r w:rsidR="007122BD">
        <w:t xml:space="preserve"> It is calculated by dividing the unemployed and actively seeking work by the total labor force</w:t>
      </w:r>
      <w:r w:rsidR="00C06386">
        <w:t>.</w:t>
      </w:r>
      <w:r w:rsidR="007122BD">
        <w:rPr>
          <w:rStyle w:val="FootnoteReference"/>
        </w:rPr>
        <w:footnoteReference w:id="5"/>
      </w:r>
      <w:r w:rsidR="007122BD">
        <w:t xml:space="preserve"> </w:t>
      </w:r>
    </w:p>
    <w:p w:rsidR="00CB0D3D" w:rsidRDefault="00CB0D3D" w:rsidP="00A12D30"/>
    <w:p w:rsidR="00C06386" w:rsidRPr="00C06386" w:rsidRDefault="00C06386" w:rsidP="00A12D30">
      <w:pPr>
        <w:rPr>
          <w:b/>
        </w:rPr>
      </w:pPr>
      <w:r w:rsidRPr="00C06386">
        <w:rPr>
          <w:b/>
        </w:rPr>
        <w:t>Table</w:t>
      </w:r>
      <w:r>
        <w:rPr>
          <w:b/>
        </w:rPr>
        <w:t xml:space="preserve"> </w:t>
      </w:r>
      <w:r w:rsidR="00186BA4">
        <w:rPr>
          <w:b/>
        </w:rPr>
        <w:t>2</w:t>
      </w:r>
      <w:r w:rsidRPr="00C06386">
        <w:rPr>
          <w:b/>
        </w:rPr>
        <w:t>: U.S. Unemployment Rate Jan 2003 – Aug 2013</w:t>
      </w:r>
    </w:p>
    <w:p w:rsidR="00C06386" w:rsidRPr="00C06386" w:rsidRDefault="00C06386" w:rsidP="00A12D30">
      <w:pPr>
        <w:rPr>
          <w:rFonts w:ascii="Tahoma" w:eastAsia="Times New Roman" w:hAnsi="Tahoma" w:cs="Tahoma"/>
          <w:sz w:val="18"/>
          <w:szCs w:val="18"/>
        </w:rPr>
      </w:pPr>
      <w:r>
        <w:rPr>
          <w:rFonts w:ascii="Tahoma" w:eastAsia="Times New Roman" w:hAnsi="Tahoma" w:cs="Tahoma"/>
          <w:noProof/>
          <w:sz w:val="18"/>
          <w:szCs w:val="18"/>
        </w:rPr>
        <w:drawing>
          <wp:inline distT="0" distB="0" distL="0" distR="0" wp14:anchorId="5386D6D0" wp14:editId="76EBDB00">
            <wp:extent cx="4912242" cy="2488018"/>
            <wp:effectExtent l="0" t="0" r="0" b="0"/>
            <wp:docPr id="2" name="Picture 2" descr="http://data.bls.gov/generated_files/graphics/latest_numbers_LNS14000000_2003_2013_all_period_M08_da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ta.bls.gov/generated_files/graphics/latest_numbers_LNS14000000_2003_2013_all_period_M08_data.gif"/>
                    <pic:cNvPicPr>
                      <a:picLocks noChangeAspect="1" noChangeArrowheads="1"/>
                    </pic:cNvPicPr>
                  </pic:nvPicPr>
                  <pic:blipFill rotWithShape="1">
                    <a:blip r:embed="rId10">
                      <a:extLst>
                        <a:ext uri="{28A0092B-C50C-407E-A947-70E740481C1C}">
                          <a14:useLocalDpi xmlns:a14="http://schemas.microsoft.com/office/drawing/2010/main" val="0"/>
                        </a:ext>
                      </a:extLst>
                    </a:blip>
                    <a:srcRect l="13967" b="13004"/>
                    <a:stretch/>
                  </pic:blipFill>
                  <pic:spPr bwMode="auto">
                    <a:xfrm>
                      <a:off x="0" y="0"/>
                      <a:ext cx="4912445" cy="2488121"/>
                    </a:xfrm>
                    <a:prstGeom prst="rect">
                      <a:avLst/>
                    </a:prstGeom>
                    <a:noFill/>
                    <a:ln>
                      <a:noFill/>
                    </a:ln>
                    <a:extLst>
                      <a:ext uri="{53640926-AAD7-44D8-BBD7-CCE9431645EC}">
                        <a14:shadowObscured xmlns:a14="http://schemas.microsoft.com/office/drawing/2010/main"/>
                      </a:ext>
                    </a:extLst>
                  </pic:spPr>
                </pic:pic>
              </a:graphicData>
            </a:graphic>
          </wp:inline>
        </w:drawing>
      </w:r>
    </w:p>
    <w:p w:rsidR="0086311B" w:rsidRDefault="0086311B" w:rsidP="00A12D30">
      <w:r>
        <w:t xml:space="preserve">Source: </w:t>
      </w:r>
      <w:r w:rsidR="00C06386">
        <w:t>Bureau of Labor Statistics http://data.bls.gov/timeseries/LNS14000000</w:t>
      </w:r>
    </w:p>
    <w:p w:rsidR="00C06386" w:rsidRDefault="00C06386" w:rsidP="00A12D30"/>
    <w:p w:rsidR="000F1AA0" w:rsidRDefault="000F1AA0" w:rsidP="00130C78">
      <w:pPr>
        <w:jc w:val="both"/>
      </w:pPr>
      <w:r>
        <w:t xml:space="preserve">The Bureau of Labor Statistics (BLS) calculates the U.S. unemployment rate from monthly data provided by the Current Population Survey. This survey is conducted for the BLS by the U.S. Bureau of the Census and covers 60,000 members of the civilian, </w:t>
      </w:r>
      <w:proofErr w:type="spellStart"/>
      <w:r>
        <w:t>noninstitutional</w:t>
      </w:r>
      <w:proofErr w:type="spellEnd"/>
      <w:r>
        <w:t xml:space="preserve"> population aged 16 years or older</w:t>
      </w:r>
      <w:r>
        <w:rPr>
          <w:rStyle w:val="FootnoteReference"/>
        </w:rPr>
        <w:footnoteReference w:id="6"/>
      </w:r>
      <w:r>
        <w:t>.</w:t>
      </w:r>
    </w:p>
    <w:p w:rsidR="00245531" w:rsidRDefault="00245531" w:rsidP="00245531"/>
    <w:tbl>
      <w:tblPr>
        <w:tblW w:w="3500" w:type="pct"/>
        <w:tblCellSpacing w:w="0" w:type="dxa"/>
        <w:tblBorders>
          <w:top w:val="outset" w:sz="6" w:space="0" w:color="999999"/>
          <w:left w:val="outset" w:sz="6" w:space="0" w:color="999999"/>
          <w:bottom w:val="outset" w:sz="6" w:space="0" w:color="999999"/>
          <w:right w:val="outset" w:sz="6" w:space="0" w:color="999999"/>
        </w:tblBorders>
        <w:tblCellMar>
          <w:top w:w="30" w:type="dxa"/>
          <w:left w:w="30" w:type="dxa"/>
          <w:bottom w:w="30" w:type="dxa"/>
          <w:right w:w="30" w:type="dxa"/>
        </w:tblCellMar>
        <w:tblLook w:val="04A0" w:firstRow="1" w:lastRow="0" w:firstColumn="1" w:lastColumn="0" w:noHBand="0" w:noVBand="1"/>
      </w:tblPr>
      <w:tblGrid>
        <w:gridCol w:w="2250"/>
        <w:gridCol w:w="4365"/>
      </w:tblGrid>
      <w:tr w:rsidR="00245531" w:rsidRPr="0008724E" w:rsidTr="005434A4">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245531" w:rsidRPr="0008724E" w:rsidRDefault="00245531" w:rsidP="005434A4">
            <w:pPr>
              <w:rPr>
                <w:rFonts w:eastAsia="Times New Roman"/>
                <w:color w:val="111111"/>
              </w:rPr>
            </w:pPr>
            <w:r w:rsidRPr="0008724E">
              <w:rPr>
                <w:rFonts w:eastAsia="Times New Roman"/>
                <w:b/>
                <w:bCs/>
                <w:color w:val="111111"/>
              </w:rPr>
              <w:t>Release Date:</w:t>
            </w:r>
          </w:p>
        </w:tc>
        <w:tc>
          <w:tcPr>
            <w:tcW w:w="4365" w:type="dxa"/>
            <w:tcBorders>
              <w:top w:val="outset" w:sz="6" w:space="0" w:color="999999"/>
              <w:left w:val="outset" w:sz="6" w:space="0" w:color="999999"/>
              <w:bottom w:val="outset" w:sz="6" w:space="0" w:color="999999"/>
              <w:right w:val="outset" w:sz="6" w:space="0" w:color="999999"/>
            </w:tcBorders>
            <w:vAlign w:val="center"/>
            <w:hideMark/>
          </w:tcPr>
          <w:p w:rsidR="00245531" w:rsidRPr="0008724E" w:rsidRDefault="00245531" w:rsidP="005434A4">
            <w:pPr>
              <w:rPr>
                <w:rFonts w:eastAsia="Times New Roman"/>
                <w:color w:val="111111"/>
              </w:rPr>
            </w:pPr>
            <w:r w:rsidRPr="0008724E">
              <w:rPr>
                <w:rFonts w:eastAsia="Times New Roman"/>
                <w:color w:val="111111"/>
              </w:rPr>
              <w:t>Early each month</w:t>
            </w:r>
          </w:p>
        </w:tc>
      </w:tr>
      <w:tr w:rsidR="00245531" w:rsidRPr="0008724E" w:rsidTr="005434A4">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245531" w:rsidRPr="0008724E" w:rsidRDefault="00245531" w:rsidP="005434A4">
            <w:pPr>
              <w:rPr>
                <w:rFonts w:eastAsia="Times New Roman"/>
                <w:color w:val="111111"/>
              </w:rPr>
            </w:pPr>
            <w:r w:rsidRPr="0008724E">
              <w:rPr>
                <w:rFonts w:eastAsia="Times New Roman"/>
                <w:b/>
                <w:bCs/>
                <w:color w:val="111111"/>
              </w:rPr>
              <w:t>Coverage:</w:t>
            </w:r>
          </w:p>
        </w:tc>
        <w:tc>
          <w:tcPr>
            <w:tcW w:w="4365" w:type="dxa"/>
            <w:tcBorders>
              <w:top w:val="outset" w:sz="6" w:space="0" w:color="999999"/>
              <w:left w:val="outset" w:sz="6" w:space="0" w:color="999999"/>
              <w:bottom w:val="outset" w:sz="6" w:space="0" w:color="999999"/>
              <w:right w:val="outset" w:sz="6" w:space="0" w:color="999999"/>
            </w:tcBorders>
            <w:vAlign w:val="center"/>
            <w:hideMark/>
          </w:tcPr>
          <w:p w:rsidR="00245531" w:rsidRPr="0008724E" w:rsidRDefault="00245531" w:rsidP="005434A4">
            <w:pPr>
              <w:rPr>
                <w:rFonts w:eastAsia="Times New Roman"/>
                <w:color w:val="111111"/>
              </w:rPr>
            </w:pPr>
            <w:r w:rsidRPr="0008724E">
              <w:rPr>
                <w:rFonts w:eastAsia="Times New Roman"/>
                <w:color w:val="111111"/>
              </w:rPr>
              <w:t>Previous month</w:t>
            </w:r>
          </w:p>
        </w:tc>
      </w:tr>
      <w:tr w:rsidR="00245531" w:rsidRPr="0008724E" w:rsidTr="005434A4">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245531" w:rsidRPr="0008724E" w:rsidRDefault="00245531" w:rsidP="005434A4">
            <w:pPr>
              <w:rPr>
                <w:rFonts w:eastAsia="Times New Roman"/>
                <w:color w:val="111111"/>
              </w:rPr>
            </w:pPr>
            <w:r w:rsidRPr="0008724E">
              <w:rPr>
                <w:rFonts w:eastAsia="Times New Roman"/>
                <w:b/>
                <w:bCs/>
                <w:color w:val="111111"/>
              </w:rPr>
              <w:t>Released By:</w:t>
            </w:r>
          </w:p>
        </w:tc>
        <w:tc>
          <w:tcPr>
            <w:tcW w:w="4365" w:type="dxa"/>
            <w:tcBorders>
              <w:top w:val="outset" w:sz="6" w:space="0" w:color="999999"/>
              <w:left w:val="outset" w:sz="6" w:space="0" w:color="999999"/>
              <w:bottom w:val="outset" w:sz="6" w:space="0" w:color="999999"/>
              <w:right w:val="outset" w:sz="6" w:space="0" w:color="999999"/>
            </w:tcBorders>
            <w:vAlign w:val="center"/>
            <w:hideMark/>
          </w:tcPr>
          <w:p w:rsidR="00245531" w:rsidRPr="0008724E" w:rsidRDefault="00245531" w:rsidP="005434A4">
            <w:pPr>
              <w:rPr>
                <w:rFonts w:eastAsia="Times New Roman"/>
                <w:color w:val="111111"/>
              </w:rPr>
            </w:pPr>
            <w:r w:rsidRPr="0008724E">
              <w:t>Bureau of Labor Statistics (BLS)</w:t>
            </w:r>
          </w:p>
        </w:tc>
      </w:tr>
      <w:tr w:rsidR="00245531" w:rsidRPr="0008724E" w:rsidTr="005434A4">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245531" w:rsidRPr="0008724E" w:rsidRDefault="00245531" w:rsidP="005434A4">
            <w:pPr>
              <w:rPr>
                <w:rFonts w:eastAsia="Times New Roman"/>
                <w:color w:val="111111"/>
              </w:rPr>
            </w:pPr>
            <w:r w:rsidRPr="0008724E">
              <w:rPr>
                <w:rFonts w:eastAsia="Times New Roman"/>
                <w:b/>
                <w:bCs/>
                <w:color w:val="111111"/>
              </w:rPr>
              <w:t>Latest Release:</w:t>
            </w:r>
          </w:p>
        </w:tc>
        <w:tc>
          <w:tcPr>
            <w:tcW w:w="4365" w:type="dxa"/>
            <w:tcBorders>
              <w:top w:val="outset" w:sz="6" w:space="0" w:color="999999"/>
              <w:left w:val="outset" w:sz="6" w:space="0" w:color="999999"/>
              <w:bottom w:val="outset" w:sz="6" w:space="0" w:color="999999"/>
              <w:right w:val="outset" w:sz="6" w:space="0" w:color="999999"/>
            </w:tcBorders>
            <w:vAlign w:val="center"/>
            <w:hideMark/>
          </w:tcPr>
          <w:p w:rsidR="00245531" w:rsidRPr="0008724E" w:rsidRDefault="00245531" w:rsidP="005434A4">
            <w:pPr>
              <w:rPr>
                <w:rFonts w:eastAsia="Times New Roman"/>
                <w:color w:val="111111"/>
              </w:rPr>
            </w:pPr>
            <w:r w:rsidRPr="00130C78">
              <w:t>http://www.bls.gov/cps/cps_htgm.htm</w:t>
            </w:r>
          </w:p>
        </w:tc>
      </w:tr>
    </w:tbl>
    <w:p w:rsidR="004F6E87" w:rsidRDefault="004F6E87" w:rsidP="000F1AA0">
      <w:pPr>
        <w:rPr>
          <w:rStyle w:val="Hyperlink"/>
        </w:rPr>
      </w:pPr>
      <w:r>
        <w:t xml:space="preserve">Source: </w:t>
      </w:r>
      <w:r w:rsidRPr="00130C78">
        <w:t>htt</w:t>
      </w:r>
      <w:r w:rsidR="00186BA4">
        <w:t>p://www.bls.gov/cps/cps_htgm.htm</w:t>
      </w:r>
    </w:p>
    <w:p w:rsidR="00130C78" w:rsidRDefault="00130C78" w:rsidP="000F1AA0"/>
    <w:p w:rsidR="007122BD" w:rsidRDefault="007122BD" w:rsidP="000F1AA0">
      <w:r>
        <w:t xml:space="preserve">There are four types of unemployment: </w:t>
      </w:r>
    </w:p>
    <w:p w:rsidR="007122BD" w:rsidRDefault="007122BD" w:rsidP="007122BD">
      <w:pPr>
        <w:pStyle w:val="ListParagraph"/>
        <w:numPr>
          <w:ilvl w:val="0"/>
          <w:numId w:val="1"/>
        </w:numPr>
      </w:pPr>
      <w:r w:rsidRPr="00130C78">
        <w:rPr>
          <w:i/>
        </w:rPr>
        <w:t>Frictional</w:t>
      </w:r>
      <w:r>
        <w:t>: natural adjustments that occur in an economy (e.g., people changing jobs)</w:t>
      </w:r>
    </w:p>
    <w:p w:rsidR="007122BD" w:rsidRDefault="007122BD" w:rsidP="007122BD">
      <w:pPr>
        <w:pStyle w:val="ListParagraph"/>
        <w:numPr>
          <w:ilvl w:val="0"/>
          <w:numId w:val="1"/>
        </w:numPr>
      </w:pPr>
      <w:r w:rsidRPr="00130C78">
        <w:rPr>
          <w:i/>
        </w:rPr>
        <w:t>Structural</w:t>
      </w:r>
      <w:r>
        <w:t>: mismatch between job skills needed and the job skills of the unemployed</w:t>
      </w:r>
    </w:p>
    <w:p w:rsidR="007122BD" w:rsidRDefault="007122BD" w:rsidP="007122BD">
      <w:pPr>
        <w:pStyle w:val="ListParagraph"/>
        <w:numPr>
          <w:ilvl w:val="0"/>
          <w:numId w:val="1"/>
        </w:numPr>
      </w:pPr>
      <w:r w:rsidRPr="00130C78">
        <w:rPr>
          <w:i/>
        </w:rPr>
        <w:t>Seasonal</w:t>
      </w:r>
      <w:r>
        <w:t>: predictable changes in yearly unemployment conditions, caused by factors such as weather conditions, harvest cycles, vacations, and holidays</w:t>
      </w:r>
    </w:p>
    <w:p w:rsidR="007122BD" w:rsidRDefault="007122BD" w:rsidP="007122BD">
      <w:pPr>
        <w:pStyle w:val="ListParagraph"/>
        <w:numPr>
          <w:ilvl w:val="0"/>
          <w:numId w:val="1"/>
        </w:numPr>
      </w:pPr>
      <w:r w:rsidRPr="00130C78">
        <w:rPr>
          <w:i/>
        </w:rPr>
        <w:t>Cyclical</w:t>
      </w:r>
      <w:r>
        <w:t>: slowing or negative growth in a business cycle</w:t>
      </w:r>
      <w:r>
        <w:rPr>
          <w:rStyle w:val="FootnoteReference"/>
        </w:rPr>
        <w:footnoteReference w:id="7"/>
      </w:r>
    </w:p>
    <w:p w:rsidR="00A12D30" w:rsidRDefault="00A12D30" w:rsidP="007A44DB">
      <w:pPr>
        <w:jc w:val="both"/>
      </w:pPr>
      <w:r w:rsidRPr="0086311B">
        <w:rPr>
          <w:b/>
        </w:rPr>
        <w:lastRenderedPageBreak/>
        <w:t>Inflation</w:t>
      </w:r>
      <w:r w:rsidR="0086311B">
        <w:rPr>
          <w:b/>
        </w:rPr>
        <w:t xml:space="preserve"> </w:t>
      </w:r>
      <w:r w:rsidR="007A44DB">
        <w:rPr>
          <w:b/>
        </w:rPr>
        <w:t>–</w:t>
      </w:r>
      <w:r w:rsidR="0086311B">
        <w:rPr>
          <w:b/>
        </w:rPr>
        <w:t xml:space="preserve"> </w:t>
      </w:r>
      <w:r w:rsidR="007A44DB" w:rsidRPr="007A44DB">
        <w:t>Measures</w:t>
      </w:r>
      <w:r w:rsidR="007A44DB">
        <w:rPr>
          <w:b/>
        </w:rPr>
        <w:t xml:space="preserve"> </w:t>
      </w:r>
      <w:r w:rsidR="007A44DB">
        <w:t>t</w:t>
      </w:r>
      <w:r w:rsidR="0086311B" w:rsidRPr="0086311B">
        <w:t>he rate at which the general level of prices for go</w:t>
      </w:r>
      <w:r w:rsidR="007A44DB">
        <w:t>ods and services is rising, and</w:t>
      </w:r>
      <w:r w:rsidR="0086311B" w:rsidRPr="0086311B">
        <w:t xml:space="preserve"> subsequently, purchasing power is falling. Central banks attempt to stop severe inflation, along with severe deflation, in an attempt to keep the excessive growth of prices to a minimum</w:t>
      </w:r>
      <w:r w:rsidR="007A44DB">
        <w:t>.</w:t>
      </w:r>
      <w:r w:rsidR="0086311B">
        <w:rPr>
          <w:rStyle w:val="FootnoteReference"/>
        </w:rPr>
        <w:footnoteReference w:id="8"/>
      </w:r>
    </w:p>
    <w:p w:rsidR="004F6E87" w:rsidRDefault="004F6E87" w:rsidP="00A12D30"/>
    <w:p w:rsidR="00186BA4" w:rsidRPr="00186BA4" w:rsidRDefault="004B1E59" w:rsidP="00A12D30">
      <w:pPr>
        <w:rPr>
          <w:b/>
        </w:rPr>
      </w:pPr>
      <w:r>
        <w:rPr>
          <w:b/>
        </w:rPr>
        <w:t xml:space="preserve">Table 3: </w:t>
      </w:r>
      <w:r w:rsidR="00186BA4" w:rsidRPr="00186BA4">
        <w:rPr>
          <w:b/>
        </w:rPr>
        <w:t xml:space="preserve">U.S. Inflation </w:t>
      </w:r>
      <w:r>
        <w:rPr>
          <w:b/>
        </w:rPr>
        <w:t xml:space="preserve">Rate </w:t>
      </w:r>
      <w:r w:rsidR="00186BA4" w:rsidRPr="00186BA4">
        <w:rPr>
          <w:b/>
        </w:rPr>
        <w:t>2003 - 2013</w:t>
      </w:r>
    </w:p>
    <w:p w:rsidR="00186BA4" w:rsidRDefault="00186BA4" w:rsidP="00A12D30">
      <w:r>
        <w:rPr>
          <w:noProof/>
        </w:rPr>
        <w:drawing>
          <wp:inline distT="0" distB="0" distL="0" distR="0" wp14:anchorId="542305EE" wp14:editId="5EA75D51">
            <wp:extent cx="5847907" cy="2673015"/>
            <wp:effectExtent l="0" t="0" r="635" b="0"/>
            <wp:docPr id="1" name="Picture 1" descr="Historical Data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ctl00_ChartUC1_ImageChart" descr="Historical Data Cha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1217" cy="2679099"/>
                    </a:xfrm>
                    <a:prstGeom prst="rect">
                      <a:avLst/>
                    </a:prstGeom>
                    <a:noFill/>
                    <a:ln>
                      <a:noFill/>
                    </a:ln>
                  </pic:spPr>
                </pic:pic>
              </a:graphicData>
            </a:graphic>
          </wp:inline>
        </w:drawing>
      </w:r>
    </w:p>
    <w:p w:rsidR="004F6E87" w:rsidRDefault="00186BA4" w:rsidP="00A12D30">
      <w:r>
        <w:t xml:space="preserve">Source: </w:t>
      </w:r>
      <w:r w:rsidRPr="00186BA4">
        <w:t>http://www.tradingeconomics.com/united-states/inflation-cpi</w:t>
      </w:r>
    </w:p>
    <w:p w:rsidR="004F6E87" w:rsidRDefault="004F6E87" w:rsidP="00A12D30"/>
    <w:p w:rsidR="004F6E87" w:rsidRPr="004F6E87" w:rsidRDefault="004F6E87" w:rsidP="00773980">
      <w:pPr>
        <w:jc w:val="both"/>
      </w:pPr>
      <w:r w:rsidRPr="004F6E87">
        <w:t xml:space="preserve">Rates of inflation are calculated using the Current Consumer Price Index published monthly by the Bureau of Labor Statistics (BLS). </w:t>
      </w:r>
      <w:r w:rsidR="00773980" w:rsidRPr="00773980">
        <w:t>This data represents changes in prices of all goods and services purchased for consumption by urban households</w:t>
      </w:r>
      <w:r w:rsidR="00773980">
        <w:t>.</w:t>
      </w:r>
      <w:r>
        <w:rPr>
          <w:rStyle w:val="FootnoteReference"/>
        </w:rPr>
        <w:footnoteReference w:id="9"/>
      </w:r>
    </w:p>
    <w:p w:rsidR="00A12D30" w:rsidRDefault="00A12D30" w:rsidP="00A12D30"/>
    <w:tbl>
      <w:tblPr>
        <w:tblW w:w="3500" w:type="pct"/>
        <w:tblCellSpacing w:w="0" w:type="dxa"/>
        <w:tblBorders>
          <w:top w:val="outset" w:sz="6" w:space="0" w:color="999999"/>
          <w:left w:val="outset" w:sz="6" w:space="0" w:color="999999"/>
          <w:bottom w:val="outset" w:sz="6" w:space="0" w:color="999999"/>
          <w:right w:val="outset" w:sz="6" w:space="0" w:color="999999"/>
        </w:tblBorders>
        <w:tblCellMar>
          <w:top w:w="30" w:type="dxa"/>
          <w:left w:w="30" w:type="dxa"/>
          <w:bottom w:w="30" w:type="dxa"/>
          <w:right w:w="30" w:type="dxa"/>
        </w:tblCellMar>
        <w:tblLook w:val="04A0" w:firstRow="1" w:lastRow="0" w:firstColumn="1" w:lastColumn="0" w:noHBand="0" w:noVBand="1"/>
      </w:tblPr>
      <w:tblGrid>
        <w:gridCol w:w="2250"/>
        <w:gridCol w:w="4365"/>
      </w:tblGrid>
      <w:tr w:rsidR="004F6E87" w:rsidRPr="0008724E" w:rsidTr="005434A4">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4F6E87" w:rsidRPr="0008724E" w:rsidRDefault="004F6E87" w:rsidP="005434A4">
            <w:pPr>
              <w:rPr>
                <w:rFonts w:eastAsia="Times New Roman"/>
                <w:color w:val="111111"/>
              </w:rPr>
            </w:pPr>
            <w:r w:rsidRPr="0008724E">
              <w:rPr>
                <w:rFonts w:eastAsia="Times New Roman"/>
                <w:b/>
                <w:bCs/>
                <w:color w:val="111111"/>
              </w:rPr>
              <w:t>Release Date:</w:t>
            </w:r>
          </w:p>
        </w:tc>
        <w:tc>
          <w:tcPr>
            <w:tcW w:w="4365" w:type="dxa"/>
            <w:tcBorders>
              <w:top w:val="outset" w:sz="6" w:space="0" w:color="999999"/>
              <w:left w:val="outset" w:sz="6" w:space="0" w:color="999999"/>
              <w:bottom w:val="outset" w:sz="6" w:space="0" w:color="999999"/>
              <w:right w:val="outset" w:sz="6" w:space="0" w:color="999999"/>
            </w:tcBorders>
            <w:vAlign w:val="center"/>
            <w:hideMark/>
          </w:tcPr>
          <w:p w:rsidR="004F6E87" w:rsidRPr="0008724E" w:rsidRDefault="004F6E87" w:rsidP="005434A4">
            <w:pPr>
              <w:rPr>
                <w:rFonts w:eastAsia="Times New Roman"/>
                <w:color w:val="111111"/>
              </w:rPr>
            </w:pPr>
            <w:r w:rsidRPr="0008724E">
              <w:rPr>
                <w:rFonts w:eastAsia="Times New Roman"/>
                <w:color w:val="111111"/>
              </w:rPr>
              <w:t>Each month and yearly on September</w:t>
            </w:r>
          </w:p>
        </w:tc>
      </w:tr>
      <w:tr w:rsidR="004F6E87" w:rsidRPr="0008724E" w:rsidTr="005434A4">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4F6E87" w:rsidRPr="0008724E" w:rsidRDefault="004F6E87" w:rsidP="005434A4">
            <w:pPr>
              <w:rPr>
                <w:rFonts w:eastAsia="Times New Roman"/>
                <w:color w:val="111111"/>
              </w:rPr>
            </w:pPr>
            <w:r w:rsidRPr="0008724E">
              <w:rPr>
                <w:rFonts w:eastAsia="Times New Roman"/>
                <w:b/>
                <w:bCs/>
                <w:color w:val="111111"/>
              </w:rPr>
              <w:t>Coverage:</w:t>
            </w:r>
          </w:p>
        </w:tc>
        <w:tc>
          <w:tcPr>
            <w:tcW w:w="4365" w:type="dxa"/>
            <w:tcBorders>
              <w:top w:val="outset" w:sz="6" w:space="0" w:color="999999"/>
              <w:left w:val="outset" w:sz="6" w:space="0" w:color="999999"/>
              <w:bottom w:val="outset" w:sz="6" w:space="0" w:color="999999"/>
              <w:right w:val="outset" w:sz="6" w:space="0" w:color="999999"/>
            </w:tcBorders>
            <w:vAlign w:val="center"/>
            <w:hideMark/>
          </w:tcPr>
          <w:p w:rsidR="004F6E87" w:rsidRPr="0008724E" w:rsidRDefault="00DE36FB" w:rsidP="005434A4">
            <w:pPr>
              <w:rPr>
                <w:rFonts w:eastAsia="Times New Roman"/>
                <w:color w:val="111111"/>
              </w:rPr>
            </w:pPr>
            <w:r>
              <w:rPr>
                <w:rFonts w:eastAsia="Times New Roman"/>
                <w:color w:val="111111"/>
              </w:rPr>
              <w:t>Previous 12 months ending</w:t>
            </w:r>
            <w:r w:rsidR="004F6E87" w:rsidRPr="0008724E">
              <w:rPr>
                <w:rFonts w:eastAsia="Times New Roman"/>
                <w:color w:val="111111"/>
              </w:rPr>
              <w:t xml:space="preserve"> August</w:t>
            </w:r>
          </w:p>
        </w:tc>
      </w:tr>
      <w:tr w:rsidR="004F6E87" w:rsidRPr="0008724E" w:rsidTr="005434A4">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4F6E87" w:rsidRPr="0008724E" w:rsidRDefault="004F6E87" w:rsidP="005434A4">
            <w:pPr>
              <w:rPr>
                <w:rFonts w:eastAsia="Times New Roman"/>
                <w:color w:val="111111"/>
              </w:rPr>
            </w:pPr>
            <w:r w:rsidRPr="0008724E">
              <w:rPr>
                <w:rFonts w:eastAsia="Times New Roman"/>
                <w:b/>
                <w:bCs/>
                <w:color w:val="111111"/>
              </w:rPr>
              <w:t>Released By:</w:t>
            </w:r>
          </w:p>
        </w:tc>
        <w:tc>
          <w:tcPr>
            <w:tcW w:w="4365" w:type="dxa"/>
            <w:tcBorders>
              <w:top w:val="outset" w:sz="6" w:space="0" w:color="999999"/>
              <w:left w:val="outset" w:sz="6" w:space="0" w:color="999999"/>
              <w:bottom w:val="outset" w:sz="6" w:space="0" w:color="999999"/>
              <w:right w:val="outset" w:sz="6" w:space="0" w:color="999999"/>
            </w:tcBorders>
            <w:vAlign w:val="center"/>
            <w:hideMark/>
          </w:tcPr>
          <w:p w:rsidR="004F6E87" w:rsidRPr="0008724E" w:rsidRDefault="004F6E87" w:rsidP="005434A4">
            <w:pPr>
              <w:rPr>
                <w:rFonts w:eastAsia="Times New Roman"/>
                <w:color w:val="111111"/>
              </w:rPr>
            </w:pPr>
            <w:r w:rsidRPr="0008724E">
              <w:t>Bureau of Labor Statistics (BLS)</w:t>
            </w:r>
          </w:p>
        </w:tc>
      </w:tr>
      <w:tr w:rsidR="004F6E87" w:rsidRPr="0008724E" w:rsidTr="005434A4">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4F6E87" w:rsidRPr="0008724E" w:rsidRDefault="004F6E87" w:rsidP="005434A4">
            <w:pPr>
              <w:rPr>
                <w:rFonts w:eastAsia="Times New Roman"/>
                <w:color w:val="111111"/>
              </w:rPr>
            </w:pPr>
            <w:r w:rsidRPr="0008724E">
              <w:rPr>
                <w:rFonts w:eastAsia="Times New Roman"/>
                <w:b/>
                <w:bCs/>
                <w:color w:val="111111"/>
              </w:rPr>
              <w:t>Latest Release:</w:t>
            </w:r>
          </w:p>
        </w:tc>
        <w:tc>
          <w:tcPr>
            <w:tcW w:w="4365" w:type="dxa"/>
            <w:tcBorders>
              <w:top w:val="outset" w:sz="6" w:space="0" w:color="999999"/>
              <w:left w:val="outset" w:sz="6" w:space="0" w:color="999999"/>
              <w:bottom w:val="outset" w:sz="6" w:space="0" w:color="999999"/>
              <w:right w:val="outset" w:sz="6" w:space="0" w:color="999999"/>
            </w:tcBorders>
            <w:vAlign w:val="center"/>
            <w:hideMark/>
          </w:tcPr>
          <w:p w:rsidR="004F6E87" w:rsidRPr="0008724E" w:rsidRDefault="005434A4" w:rsidP="005434A4">
            <w:pPr>
              <w:rPr>
                <w:rFonts w:eastAsia="Times New Roman"/>
                <w:color w:val="111111"/>
              </w:rPr>
            </w:pPr>
            <w:r w:rsidRPr="004B1E59">
              <w:t>http://www.bls.gov/bls/inflation.htm</w:t>
            </w:r>
          </w:p>
        </w:tc>
      </w:tr>
    </w:tbl>
    <w:p w:rsidR="005434A4" w:rsidRDefault="005434A4" w:rsidP="00A12D30"/>
    <w:p w:rsidR="00A12D30" w:rsidRDefault="00D2752B" w:rsidP="00773980">
      <w:pPr>
        <w:jc w:val="both"/>
      </w:pPr>
      <w:r>
        <w:rPr>
          <w:b/>
        </w:rPr>
        <w:t>Consumer</w:t>
      </w:r>
      <w:r w:rsidR="00A12D30" w:rsidRPr="00D2752B">
        <w:rPr>
          <w:b/>
        </w:rPr>
        <w:t xml:space="preserve"> Sentiment</w:t>
      </w:r>
      <w:r w:rsidR="00BE658B" w:rsidRPr="00D2752B">
        <w:t xml:space="preserve"> – </w:t>
      </w:r>
      <w:r w:rsidRPr="00D2752B">
        <w:t>A statistical measurement and economic indicator of the overall health of the economy as determined by consumer opinion. Consumer sentiment takes into account an individual's feelings toward his or her own current financial health, the health of the economy in the short term and the prospects for longer term economic growth</w:t>
      </w:r>
      <w:r>
        <w:t xml:space="preserve">. </w:t>
      </w:r>
    </w:p>
    <w:p w:rsidR="00D2752B" w:rsidRDefault="00D2752B" w:rsidP="00773980">
      <w:pPr>
        <w:jc w:val="both"/>
      </w:pPr>
    </w:p>
    <w:p w:rsidR="00D2752B" w:rsidRDefault="00D2752B" w:rsidP="00773980">
      <w:pPr>
        <w:jc w:val="both"/>
      </w:pPr>
      <w:r>
        <w:t xml:space="preserve">Consumer sentiment developed as an economic statistic during the mid-20th century, and has become a barometer whose results influence public policy, economic policy and the stock markets. When consumer sentiment is less positive, markets typically react bearishly and vice versa. </w:t>
      </w:r>
    </w:p>
    <w:p w:rsidR="00D2752B" w:rsidRDefault="00D2752B" w:rsidP="00773980">
      <w:pPr>
        <w:jc w:val="both"/>
      </w:pPr>
    </w:p>
    <w:p w:rsidR="00D2752B" w:rsidRDefault="00D2752B" w:rsidP="00D2752B">
      <w:r>
        <w:lastRenderedPageBreak/>
        <w:t xml:space="preserve">One of the closely followed publications of the consumer sentiment is the University </w:t>
      </w:r>
      <w:proofErr w:type="gramStart"/>
      <w:r>
        <w:t>of</w:t>
      </w:r>
      <w:proofErr w:type="gramEnd"/>
      <w:r>
        <w:t xml:space="preserve"> Michigan Consumer Sentiment Index (MCSI)</w:t>
      </w:r>
      <w:r>
        <w:rPr>
          <w:rStyle w:val="FootnoteReference"/>
        </w:rPr>
        <w:footnoteReference w:id="10"/>
      </w:r>
      <w:r>
        <w:t>.</w:t>
      </w:r>
    </w:p>
    <w:p w:rsidR="00773980" w:rsidRDefault="00773980" w:rsidP="00D2752B"/>
    <w:p w:rsidR="00773980" w:rsidRPr="00773980" w:rsidRDefault="00773980" w:rsidP="00D2752B">
      <w:pPr>
        <w:rPr>
          <w:b/>
        </w:rPr>
      </w:pPr>
      <w:r w:rsidRPr="00773980">
        <w:rPr>
          <w:b/>
        </w:rPr>
        <w:t xml:space="preserve">Table 4: Michigan Consumer Sentiment Index (MCSI) </w:t>
      </w:r>
    </w:p>
    <w:p w:rsidR="00D2752B" w:rsidRDefault="00773980" w:rsidP="00D2752B">
      <w:r w:rsidRPr="00773980">
        <w:drawing>
          <wp:inline distT="0" distB="0" distL="0" distR="0" wp14:anchorId="280222D7" wp14:editId="0CCB1769">
            <wp:extent cx="5943600" cy="41497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4149725"/>
                    </a:xfrm>
                    <a:prstGeom prst="rect">
                      <a:avLst/>
                    </a:prstGeom>
                  </pic:spPr>
                </pic:pic>
              </a:graphicData>
            </a:graphic>
          </wp:inline>
        </w:drawing>
      </w:r>
    </w:p>
    <w:p w:rsidR="00773980" w:rsidRDefault="00773980" w:rsidP="00D2752B">
      <w:r>
        <w:t xml:space="preserve">Source: </w:t>
      </w:r>
      <w:r w:rsidRPr="00773980">
        <w:t>http://www.sca.isr.umich.edu/charts.php</w:t>
      </w:r>
    </w:p>
    <w:p w:rsidR="00773980" w:rsidRDefault="00773980" w:rsidP="00D2752B"/>
    <w:p w:rsidR="00773980" w:rsidRDefault="00773980" w:rsidP="00773980">
      <w:pPr>
        <w:jc w:val="both"/>
      </w:pPr>
      <w:r w:rsidRPr="00B508AB">
        <w:t>Consumer confidence is an economic indicator which measures the degree of optimism that consumers feel about the overall state of the economy and their personal financial situation. How confident people feel about stability of their incomes affect their economic decisions, such as spending activity, and therefore serves as one of the key indicators for the overall shape of the economy. In essence, if consumer confidence is high, consumers will be making more purchases. On the other hand, if confidence is lower, consumers tend to save more and spend less</w:t>
      </w:r>
      <w:r>
        <w:rPr>
          <w:rStyle w:val="FootnoteReference"/>
        </w:rPr>
        <w:footnoteReference w:id="11"/>
      </w:r>
      <w:r w:rsidRPr="00B508AB">
        <w:t>.</w:t>
      </w:r>
    </w:p>
    <w:p w:rsidR="00773980" w:rsidRDefault="00773980" w:rsidP="00D2752B"/>
    <w:tbl>
      <w:tblPr>
        <w:tblW w:w="3500" w:type="pct"/>
        <w:tblCellSpacing w:w="0" w:type="dxa"/>
        <w:tblBorders>
          <w:top w:val="outset" w:sz="6" w:space="0" w:color="999999"/>
          <w:left w:val="outset" w:sz="6" w:space="0" w:color="999999"/>
          <w:bottom w:val="outset" w:sz="6" w:space="0" w:color="999999"/>
          <w:right w:val="outset" w:sz="6" w:space="0" w:color="999999"/>
        </w:tblBorders>
        <w:tblLayout w:type="fixed"/>
        <w:tblCellMar>
          <w:top w:w="30" w:type="dxa"/>
          <w:left w:w="30" w:type="dxa"/>
          <w:bottom w:w="30" w:type="dxa"/>
          <w:right w:w="30" w:type="dxa"/>
        </w:tblCellMar>
        <w:tblLook w:val="04A0" w:firstRow="1" w:lastRow="0" w:firstColumn="1" w:lastColumn="0" w:noHBand="0" w:noVBand="1"/>
      </w:tblPr>
      <w:tblGrid>
        <w:gridCol w:w="1845"/>
        <w:gridCol w:w="4770"/>
      </w:tblGrid>
      <w:tr w:rsidR="003B0056" w:rsidRPr="0008724E" w:rsidTr="008A5BBB">
        <w:trPr>
          <w:tblCellSpacing w:w="0" w:type="dxa"/>
        </w:trPr>
        <w:tc>
          <w:tcPr>
            <w:tcW w:w="1845" w:type="dxa"/>
            <w:tcBorders>
              <w:top w:val="outset" w:sz="6" w:space="0" w:color="999999"/>
              <w:left w:val="outset" w:sz="6" w:space="0" w:color="999999"/>
              <w:bottom w:val="outset" w:sz="6" w:space="0" w:color="999999"/>
              <w:right w:val="outset" w:sz="6" w:space="0" w:color="999999"/>
            </w:tcBorders>
            <w:hideMark/>
          </w:tcPr>
          <w:p w:rsidR="003B0056" w:rsidRPr="0008724E" w:rsidRDefault="003B0056" w:rsidP="008A5BBB">
            <w:pPr>
              <w:rPr>
                <w:rFonts w:eastAsia="Times New Roman"/>
                <w:color w:val="111111"/>
              </w:rPr>
            </w:pPr>
            <w:r w:rsidRPr="0008724E">
              <w:rPr>
                <w:rFonts w:eastAsia="Times New Roman"/>
                <w:b/>
                <w:bCs/>
                <w:color w:val="111111"/>
              </w:rPr>
              <w:t>Release Date:</w:t>
            </w:r>
          </w:p>
        </w:tc>
        <w:tc>
          <w:tcPr>
            <w:tcW w:w="4770" w:type="dxa"/>
            <w:tcBorders>
              <w:top w:val="outset" w:sz="6" w:space="0" w:color="999999"/>
              <w:left w:val="outset" w:sz="6" w:space="0" w:color="999999"/>
              <w:bottom w:val="outset" w:sz="6" w:space="0" w:color="999999"/>
              <w:right w:val="outset" w:sz="6" w:space="0" w:color="999999"/>
            </w:tcBorders>
            <w:vAlign w:val="center"/>
            <w:hideMark/>
          </w:tcPr>
          <w:p w:rsidR="003B0056" w:rsidRPr="0008724E" w:rsidRDefault="003B0056" w:rsidP="008A5BBB">
            <w:pPr>
              <w:rPr>
                <w:rFonts w:eastAsia="Times New Roman"/>
                <w:color w:val="111111"/>
              </w:rPr>
            </w:pPr>
            <w:r>
              <w:rPr>
                <w:rFonts w:eastAsia="Times New Roman"/>
                <w:color w:val="111111"/>
              </w:rPr>
              <w:t>Monthly</w:t>
            </w:r>
          </w:p>
        </w:tc>
      </w:tr>
      <w:tr w:rsidR="003B0056" w:rsidRPr="0008724E" w:rsidTr="008A5BBB">
        <w:trPr>
          <w:tblCellSpacing w:w="0" w:type="dxa"/>
        </w:trPr>
        <w:tc>
          <w:tcPr>
            <w:tcW w:w="1845" w:type="dxa"/>
            <w:tcBorders>
              <w:top w:val="outset" w:sz="6" w:space="0" w:color="999999"/>
              <w:left w:val="outset" w:sz="6" w:space="0" w:color="999999"/>
              <w:bottom w:val="outset" w:sz="6" w:space="0" w:color="999999"/>
              <w:right w:val="outset" w:sz="6" w:space="0" w:color="999999"/>
            </w:tcBorders>
            <w:hideMark/>
          </w:tcPr>
          <w:p w:rsidR="003B0056" w:rsidRPr="0008724E" w:rsidRDefault="003B0056" w:rsidP="008A5BBB">
            <w:pPr>
              <w:rPr>
                <w:rFonts w:eastAsia="Times New Roman"/>
                <w:color w:val="111111"/>
              </w:rPr>
            </w:pPr>
            <w:r w:rsidRPr="0008724E">
              <w:rPr>
                <w:rFonts w:eastAsia="Times New Roman"/>
                <w:b/>
                <w:bCs/>
                <w:color w:val="111111"/>
              </w:rPr>
              <w:t>Coverage:</w:t>
            </w:r>
          </w:p>
        </w:tc>
        <w:tc>
          <w:tcPr>
            <w:tcW w:w="4770" w:type="dxa"/>
            <w:tcBorders>
              <w:top w:val="outset" w:sz="6" w:space="0" w:color="999999"/>
              <w:left w:val="outset" w:sz="6" w:space="0" w:color="999999"/>
              <w:bottom w:val="outset" w:sz="6" w:space="0" w:color="999999"/>
              <w:right w:val="outset" w:sz="6" w:space="0" w:color="999999"/>
            </w:tcBorders>
            <w:vAlign w:val="center"/>
            <w:hideMark/>
          </w:tcPr>
          <w:p w:rsidR="003B0056" w:rsidRPr="0008724E" w:rsidRDefault="003B0056" w:rsidP="003B0056">
            <w:pPr>
              <w:rPr>
                <w:rFonts w:eastAsia="Times New Roman"/>
                <w:color w:val="111111"/>
              </w:rPr>
            </w:pPr>
            <w:r>
              <w:rPr>
                <w:rFonts w:eastAsia="Times New Roman"/>
                <w:color w:val="111111"/>
              </w:rPr>
              <w:t>Previous month</w:t>
            </w:r>
          </w:p>
        </w:tc>
      </w:tr>
      <w:tr w:rsidR="003B0056" w:rsidRPr="0008724E" w:rsidTr="008A5BBB">
        <w:trPr>
          <w:tblCellSpacing w:w="0" w:type="dxa"/>
        </w:trPr>
        <w:tc>
          <w:tcPr>
            <w:tcW w:w="1845" w:type="dxa"/>
            <w:tcBorders>
              <w:top w:val="outset" w:sz="6" w:space="0" w:color="999999"/>
              <w:left w:val="outset" w:sz="6" w:space="0" w:color="999999"/>
              <w:bottom w:val="outset" w:sz="6" w:space="0" w:color="999999"/>
              <w:right w:val="outset" w:sz="6" w:space="0" w:color="999999"/>
            </w:tcBorders>
            <w:hideMark/>
          </w:tcPr>
          <w:p w:rsidR="003B0056" w:rsidRPr="0008724E" w:rsidRDefault="003B0056" w:rsidP="008A5BBB">
            <w:pPr>
              <w:rPr>
                <w:rFonts w:eastAsia="Times New Roman"/>
                <w:color w:val="111111"/>
              </w:rPr>
            </w:pPr>
            <w:r w:rsidRPr="0008724E">
              <w:rPr>
                <w:rFonts w:eastAsia="Times New Roman"/>
                <w:b/>
                <w:bCs/>
                <w:color w:val="111111"/>
              </w:rPr>
              <w:t>Released By:</w:t>
            </w:r>
          </w:p>
        </w:tc>
        <w:tc>
          <w:tcPr>
            <w:tcW w:w="4770" w:type="dxa"/>
            <w:tcBorders>
              <w:top w:val="outset" w:sz="6" w:space="0" w:color="999999"/>
              <w:left w:val="outset" w:sz="6" w:space="0" w:color="999999"/>
              <w:bottom w:val="outset" w:sz="6" w:space="0" w:color="999999"/>
              <w:right w:val="outset" w:sz="6" w:space="0" w:color="999999"/>
            </w:tcBorders>
            <w:vAlign w:val="center"/>
            <w:hideMark/>
          </w:tcPr>
          <w:p w:rsidR="003B0056" w:rsidRPr="0008724E" w:rsidRDefault="003B0056" w:rsidP="008A5BBB">
            <w:pPr>
              <w:rPr>
                <w:rFonts w:eastAsia="Times New Roman"/>
                <w:color w:val="111111"/>
              </w:rPr>
            </w:pPr>
            <w:r w:rsidRPr="003B0056">
              <w:t>Thomson Reuters/University of Michigan</w:t>
            </w:r>
          </w:p>
        </w:tc>
      </w:tr>
      <w:tr w:rsidR="003B0056" w:rsidRPr="0008724E" w:rsidTr="008A5BBB">
        <w:trPr>
          <w:tblCellSpacing w:w="0" w:type="dxa"/>
        </w:trPr>
        <w:tc>
          <w:tcPr>
            <w:tcW w:w="1845" w:type="dxa"/>
            <w:tcBorders>
              <w:top w:val="outset" w:sz="6" w:space="0" w:color="999999"/>
              <w:left w:val="outset" w:sz="6" w:space="0" w:color="999999"/>
              <w:bottom w:val="outset" w:sz="6" w:space="0" w:color="999999"/>
              <w:right w:val="outset" w:sz="6" w:space="0" w:color="999999"/>
            </w:tcBorders>
            <w:hideMark/>
          </w:tcPr>
          <w:p w:rsidR="003B0056" w:rsidRPr="0008724E" w:rsidRDefault="003B0056" w:rsidP="008A5BBB">
            <w:pPr>
              <w:rPr>
                <w:rFonts w:eastAsia="Times New Roman"/>
                <w:color w:val="111111"/>
              </w:rPr>
            </w:pPr>
            <w:r w:rsidRPr="0008724E">
              <w:rPr>
                <w:rFonts w:eastAsia="Times New Roman"/>
                <w:b/>
                <w:bCs/>
                <w:color w:val="111111"/>
              </w:rPr>
              <w:t>Latest Release:</w:t>
            </w:r>
          </w:p>
        </w:tc>
        <w:tc>
          <w:tcPr>
            <w:tcW w:w="4770" w:type="dxa"/>
            <w:tcBorders>
              <w:top w:val="outset" w:sz="6" w:space="0" w:color="999999"/>
              <w:left w:val="outset" w:sz="6" w:space="0" w:color="999999"/>
              <w:bottom w:val="outset" w:sz="6" w:space="0" w:color="999999"/>
              <w:right w:val="outset" w:sz="6" w:space="0" w:color="999999"/>
            </w:tcBorders>
            <w:vAlign w:val="center"/>
            <w:hideMark/>
          </w:tcPr>
          <w:p w:rsidR="003B0056" w:rsidRPr="0008724E" w:rsidRDefault="00773980" w:rsidP="008A5BBB">
            <w:pPr>
              <w:rPr>
                <w:rFonts w:eastAsia="Times New Roman"/>
                <w:color w:val="111111"/>
              </w:rPr>
            </w:pPr>
            <w:r w:rsidRPr="00773980">
              <w:rPr>
                <w:rFonts w:eastAsia="Times New Roman"/>
                <w:color w:val="111111"/>
              </w:rPr>
              <w:t>http://www.sca.isr.umich.edu/charts.php</w:t>
            </w:r>
          </w:p>
        </w:tc>
      </w:tr>
    </w:tbl>
    <w:p w:rsidR="003B0056" w:rsidRDefault="003B0056" w:rsidP="00D2752B"/>
    <w:p w:rsidR="00A12D30" w:rsidRDefault="00CE6925" w:rsidP="00773980">
      <w:pPr>
        <w:jc w:val="both"/>
      </w:pPr>
      <w:r>
        <w:rPr>
          <w:b/>
        </w:rPr>
        <w:lastRenderedPageBreak/>
        <w:t xml:space="preserve">Budget </w:t>
      </w:r>
      <w:r w:rsidR="00A12D30" w:rsidRPr="00BE658B">
        <w:rPr>
          <w:b/>
        </w:rPr>
        <w:t>Deficit</w:t>
      </w:r>
      <w:r w:rsidR="00BE658B">
        <w:rPr>
          <w:b/>
        </w:rPr>
        <w:t xml:space="preserve"> - </w:t>
      </w:r>
      <w:r w:rsidR="00BE658B" w:rsidRPr="00BE658B">
        <w:t>Deficit essentially refers to the difference bet</w:t>
      </w:r>
      <w:r w:rsidR="00A04F92">
        <w:t xml:space="preserve">ween cash inflows and outflows.  </w:t>
      </w:r>
      <w:bookmarkStart w:id="0" w:name="_GoBack"/>
      <w:bookmarkEnd w:id="0"/>
      <w:r w:rsidR="00BE658B" w:rsidRPr="00BE658B">
        <w:t>Deficit is the opposite of "surplus" and is synonymous with shortfall or loss</w:t>
      </w:r>
      <w:r>
        <w:t>.</w:t>
      </w:r>
      <w:r w:rsidR="00BE658B">
        <w:rPr>
          <w:rStyle w:val="FootnoteReference"/>
        </w:rPr>
        <w:footnoteReference w:id="12"/>
      </w:r>
    </w:p>
    <w:p w:rsidR="00D2752B" w:rsidRPr="00BE658B" w:rsidRDefault="00D2752B" w:rsidP="00A12D30"/>
    <w:p w:rsidR="00A12D30" w:rsidRPr="00CE6925" w:rsidRDefault="00773980" w:rsidP="00A12D30">
      <w:pPr>
        <w:rPr>
          <w:b/>
        </w:rPr>
      </w:pPr>
      <w:r w:rsidRPr="00CE6925">
        <w:rPr>
          <w:b/>
        </w:rPr>
        <w:t xml:space="preserve">Table 5: </w:t>
      </w:r>
      <w:r w:rsidR="00CE6925" w:rsidRPr="00CE6925">
        <w:rPr>
          <w:b/>
        </w:rPr>
        <w:t>US Budget Deficit from 2003 to 2012 (in Billion Dollars)</w:t>
      </w:r>
    </w:p>
    <w:p w:rsidR="00773980" w:rsidRDefault="00773980" w:rsidP="00A12D30">
      <w:r>
        <w:rPr>
          <w:noProof/>
        </w:rPr>
        <w:drawing>
          <wp:inline distT="0" distB="0" distL="0" distR="0" wp14:anchorId="10A1ACE1" wp14:editId="2571E57E">
            <wp:extent cx="5890437" cy="3051544"/>
            <wp:effectExtent l="0" t="0" r="15240" b="158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E6925" w:rsidRDefault="00CE6925" w:rsidP="00A12D30">
      <w:r>
        <w:t>Source: https://www.cbo.gov/publication/44507</w:t>
      </w:r>
    </w:p>
    <w:p w:rsidR="00CE6925" w:rsidRDefault="00CE6925" w:rsidP="00A12D30"/>
    <w:p w:rsidR="00CE6925" w:rsidRDefault="00CE6925" w:rsidP="00CE6925">
      <w:pPr>
        <w:jc w:val="both"/>
      </w:pPr>
      <w:r w:rsidRPr="00CE6925">
        <w:t>The</w:t>
      </w:r>
      <w:r>
        <w:t xml:space="preserve"> U.S.</w:t>
      </w:r>
      <w:r w:rsidRPr="00CE6925">
        <w:t xml:space="preserve"> government’s fiscal year runs from October to September</w:t>
      </w:r>
      <w:r>
        <w:t xml:space="preserve">. </w:t>
      </w:r>
      <w:r w:rsidRPr="00CE6925">
        <w:t xml:space="preserve">The deficit has been falling </w:t>
      </w:r>
      <w:r>
        <w:t>due</w:t>
      </w:r>
      <w:r w:rsidRPr="00CE6925">
        <w:t xml:space="preserve"> </w:t>
      </w:r>
      <w:r>
        <w:t xml:space="preserve">mostly </w:t>
      </w:r>
      <w:r w:rsidRPr="00CE6925">
        <w:t xml:space="preserve">to increased </w:t>
      </w:r>
      <w:r>
        <w:t>tax revenues.  R</w:t>
      </w:r>
      <w:r w:rsidRPr="00CE6925">
        <w:t xml:space="preserve">eceipts of individual income taxes, payroll taxes and corporate taxes have </w:t>
      </w:r>
      <w:r>
        <w:t>collectively</w:t>
      </w:r>
      <w:r w:rsidRPr="00CE6925">
        <w:t xml:space="preserve"> grown </w:t>
      </w:r>
      <w:r>
        <w:t xml:space="preserve">13 percent </w:t>
      </w:r>
      <w:r w:rsidRPr="00CE6925">
        <w:t xml:space="preserve">from a year earlier, reflecting both higher tax rates and an improving economy. </w:t>
      </w:r>
      <w:r>
        <w:t xml:space="preserve"> In addition, </w:t>
      </w:r>
      <w:r w:rsidRPr="00CE6925">
        <w:t>government spending</w:t>
      </w:r>
      <w:r>
        <w:t xml:space="preserve"> is down 4 percent</w:t>
      </w:r>
      <w:r w:rsidRPr="00CE6925">
        <w:t xml:space="preserve"> partly due to the automatic budget cuts known as </w:t>
      </w:r>
      <w:r>
        <w:t>“</w:t>
      </w:r>
      <w:proofErr w:type="gramStart"/>
      <w:r w:rsidRPr="00CE6925">
        <w:t>the sequester</w:t>
      </w:r>
      <w:proofErr w:type="gramEnd"/>
      <w:r>
        <w:t>.”</w:t>
      </w:r>
      <w:r>
        <w:rPr>
          <w:rStyle w:val="FootnoteReference"/>
        </w:rPr>
        <w:footnoteReference w:id="13"/>
      </w:r>
      <w:r>
        <w:t xml:space="preserve">   </w:t>
      </w:r>
    </w:p>
    <w:p w:rsidR="00773980" w:rsidRDefault="00773980" w:rsidP="00A12D30"/>
    <w:tbl>
      <w:tblPr>
        <w:tblW w:w="4024" w:type="pct"/>
        <w:tblCellSpacing w:w="0" w:type="dxa"/>
        <w:tblBorders>
          <w:top w:val="outset" w:sz="6" w:space="0" w:color="999999"/>
          <w:left w:val="outset" w:sz="6" w:space="0" w:color="999999"/>
          <w:bottom w:val="outset" w:sz="6" w:space="0" w:color="999999"/>
          <w:right w:val="outset" w:sz="6" w:space="0" w:color="999999"/>
        </w:tblBorders>
        <w:tblCellMar>
          <w:top w:w="30" w:type="dxa"/>
          <w:left w:w="30" w:type="dxa"/>
          <w:bottom w:w="30" w:type="dxa"/>
          <w:right w:w="30" w:type="dxa"/>
        </w:tblCellMar>
        <w:tblLook w:val="04A0" w:firstRow="1" w:lastRow="0" w:firstColumn="1" w:lastColumn="0" w:noHBand="0" w:noVBand="1"/>
      </w:tblPr>
      <w:tblGrid>
        <w:gridCol w:w="2250"/>
        <w:gridCol w:w="5355"/>
      </w:tblGrid>
      <w:tr w:rsidR="00DE36FB" w:rsidRPr="0008724E" w:rsidTr="00DE36FB">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DE36FB" w:rsidRPr="0008724E" w:rsidRDefault="00DE36FB" w:rsidP="00D2752B">
            <w:pPr>
              <w:rPr>
                <w:rFonts w:eastAsia="Times New Roman"/>
                <w:color w:val="111111"/>
              </w:rPr>
            </w:pPr>
            <w:r w:rsidRPr="0008724E">
              <w:rPr>
                <w:rFonts w:eastAsia="Times New Roman"/>
                <w:b/>
                <w:bCs/>
                <w:color w:val="111111"/>
              </w:rPr>
              <w:t>Release Date:</w:t>
            </w:r>
          </w:p>
        </w:tc>
        <w:tc>
          <w:tcPr>
            <w:tcW w:w="5355" w:type="dxa"/>
            <w:tcBorders>
              <w:top w:val="outset" w:sz="6" w:space="0" w:color="999999"/>
              <w:left w:val="outset" w:sz="6" w:space="0" w:color="999999"/>
              <w:bottom w:val="outset" w:sz="6" w:space="0" w:color="999999"/>
              <w:right w:val="outset" w:sz="6" w:space="0" w:color="999999"/>
            </w:tcBorders>
            <w:vAlign w:val="center"/>
            <w:hideMark/>
          </w:tcPr>
          <w:p w:rsidR="00DE36FB" w:rsidRPr="0008724E" w:rsidRDefault="00DE36FB" w:rsidP="00D2752B">
            <w:pPr>
              <w:rPr>
                <w:rFonts w:eastAsia="Times New Roman"/>
                <w:color w:val="111111"/>
              </w:rPr>
            </w:pPr>
            <w:r>
              <w:rPr>
                <w:rFonts w:eastAsia="Times New Roman"/>
                <w:color w:val="111111"/>
              </w:rPr>
              <w:t>Monthly</w:t>
            </w:r>
          </w:p>
        </w:tc>
      </w:tr>
      <w:tr w:rsidR="00DE36FB" w:rsidRPr="0008724E" w:rsidTr="00DE36FB">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DE36FB" w:rsidRPr="0008724E" w:rsidRDefault="00DE36FB" w:rsidP="00D2752B">
            <w:pPr>
              <w:rPr>
                <w:rFonts w:eastAsia="Times New Roman"/>
                <w:color w:val="111111"/>
              </w:rPr>
            </w:pPr>
            <w:r w:rsidRPr="0008724E">
              <w:rPr>
                <w:rFonts w:eastAsia="Times New Roman"/>
                <w:b/>
                <w:bCs/>
                <w:color w:val="111111"/>
              </w:rPr>
              <w:t>Coverage:</w:t>
            </w:r>
          </w:p>
        </w:tc>
        <w:tc>
          <w:tcPr>
            <w:tcW w:w="5355" w:type="dxa"/>
            <w:tcBorders>
              <w:top w:val="outset" w:sz="6" w:space="0" w:color="999999"/>
              <w:left w:val="outset" w:sz="6" w:space="0" w:color="999999"/>
              <w:bottom w:val="outset" w:sz="6" w:space="0" w:color="999999"/>
              <w:right w:val="outset" w:sz="6" w:space="0" w:color="999999"/>
            </w:tcBorders>
            <w:vAlign w:val="center"/>
            <w:hideMark/>
          </w:tcPr>
          <w:p w:rsidR="00DE36FB" w:rsidRPr="0008724E" w:rsidRDefault="00DE36FB" w:rsidP="00D2752B">
            <w:pPr>
              <w:rPr>
                <w:rFonts w:eastAsia="Times New Roman"/>
                <w:color w:val="111111"/>
              </w:rPr>
            </w:pPr>
            <w:r>
              <w:rPr>
                <w:rFonts w:eastAsia="Times New Roman"/>
                <w:color w:val="111111"/>
              </w:rPr>
              <w:t xml:space="preserve">Previous month </w:t>
            </w:r>
          </w:p>
        </w:tc>
      </w:tr>
      <w:tr w:rsidR="00DE36FB" w:rsidRPr="0008724E" w:rsidTr="00DE36FB">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DE36FB" w:rsidRPr="0008724E" w:rsidRDefault="00DE36FB" w:rsidP="00D2752B">
            <w:pPr>
              <w:rPr>
                <w:rFonts w:eastAsia="Times New Roman"/>
                <w:color w:val="111111"/>
              </w:rPr>
            </w:pPr>
            <w:r w:rsidRPr="0008724E">
              <w:rPr>
                <w:rFonts w:eastAsia="Times New Roman"/>
                <w:b/>
                <w:bCs/>
                <w:color w:val="111111"/>
              </w:rPr>
              <w:t>Released By:</w:t>
            </w:r>
          </w:p>
        </w:tc>
        <w:tc>
          <w:tcPr>
            <w:tcW w:w="5355" w:type="dxa"/>
            <w:tcBorders>
              <w:top w:val="outset" w:sz="6" w:space="0" w:color="999999"/>
              <w:left w:val="outset" w:sz="6" w:space="0" w:color="999999"/>
              <w:bottom w:val="outset" w:sz="6" w:space="0" w:color="999999"/>
              <w:right w:val="outset" w:sz="6" w:space="0" w:color="999999"/>
            </w:tcBorders>
            <w:vAlign w:val="center"/>
            <w:hideMark/>
          </w:tcPr>
          <w:p w:rsidR="00DE36FB" w:rsidRPr="0008724E" w:rsidRDefault="00DE36FB" w:rsidP="00D2752B">
            <w:pPr>
              <w:rPr>
                <w:rFonts w:eastAsia="Times New Roman"/>
                <w:color w:val="111111"/>
              </w:rPr>
            </w:pPr>
            <w:r>
              <w:rPr>
                <w:rFonts w:eastAsia="Times New Roman"/>
                <w:color w:val="111111"/>
              </w:rPr>
              <w:t>Bureau of the United States Department of Treasury</w:t>
            </w:r>
          </w:p>
        </w:tc>
      </w:tr>
      <w:tr w:rsidR="00DE36FB" w:rsidRPr="0008724E" w:rsidTr="00DE36FB">
        <w:trPr>
          <w:tblCellSpacing w:w="0" w:type="dxa"/>
        </w:trPr>
        <w:tc>
          <w:tcPr>
            <w:tcW w:w="2250" w:type="dxa"/>
            <w:tcBorders>
              <w:top w:val="outset" w:sz="6" w:space="0" w:color="999999"/>
              <w:left w:val="outset" w:sz="6" w:space="0" w:color="999999"/>
              <w:bottom w:val="outset" w:sz="6" w:space="0" w:color="999999"/>
              <w:right w:val="outset" w:sz="6" w:space="0" w:color="999999"/>
            </w:tcBorders>
            <w:hideMark/>
          </w:tcPr>
          <w:p w:rsidR="00DE36FB" w:rsidRPr="0008724E" w:rsidRDefault="00DE36FB" w:rsidP="00D2752B">
            <w:pPr>
              <w:rPr>
                <w:rFonts w:eastAsia="Times New Roman"/>
                <w:color w:val="111111"/>
              </w:rPr>
            </w:pPr>
            <w:r w:rsidRPr="0008724E">
              <w:rPr>
                <w:rFonts w:eastAsia="Times New Roman"/>
                <w:b/>
                <w:bCs/>
                <w:color w:val="111111"/>
              </w:rPr>
              <w:t>Latest Release:</w:t>
            </w:r>
          </w:p>
        </w:tc>
        <w:tc>
          <w:tcPr>
            <w:tcW w:w="5355" w:type="dxa"/>
            <w:tcBorders>
              <w:top w:val="outset" w:sz="6" w:space="0" w:color="999999"/>
              <w:left w:val="outset" w:sz="6" w:space="0" w:color="999999"/>
              <w:bottom w:val="outset" w:sz="6" w:space="0" w:color="999999"/>
              <w:right w:val="outset" w:sz="6" w:space="0" w:color="999999"/>
            </w:tcBorders>
            <w:vAlign w:val="center"/>
            <w:hideMark/>
          </w:tcPr>
          <w:p w:rsidR="00DE36FB" w:rsidRPr="0008724E" w:rsidRDefault="00DE36FB" w:rsidP="00D2752B">
            <w:pPr>
              <w:rPr>
                <w:rFonts w:eastAsia="Times New Roman"/>
                <w:color w:val="111111"/>
              </w:rPr>
            </w:pPr>
            <w:r w:rsidRPr="00CE6925">
              <w:t>http://www.fms.treas.gov/mts/index.html</w:t>
            </w:r>
          </w:p>
        </w:tc>
      </w:tr>
    </w:tbl>
    <w:p w:rsidR="00DE36FB" w:rsidRDefault="00DE36FB" w:rsidP="00A12D30"/>
    <w:p w:rsidR="002F64D8" w:rsidRDefault="002F64D8" w:rsidP="00A12D30"/>
    <w:p w:rsidR="00CE6925" w:rsidRDefault="00CE6925">
      <w:pPr>
        <w:rPr>
          <w:i/>
        </w:rPr>
      </w:pPr>
    </w:p>
    <w:p w:rsidR="00CE6925" w:rsidRDefault="00CE6925">
      <w:pPr>
        <w:rPr>
          <w:i/>
        </w:rPr>
      </w:pPr>
    </w:p>
    <w:p w:rsidR="00CE6925" w:rsidRDefault="00CE6925">
      <w:pPr>
        <w:rPr>
          <w:i/>
        </w:rPr>
      </w:pPr>
    </w:p>
    <w:p w:rsidR="00CE6925" w:rsidRDefault="00CE6925">
      <w:pPr>
        <w:rPr>
          <w:i/>
        </w:rPr>
      </w:pPr>
    </w:p>
    <w:p w:rsidR="004106B1" w:rsidRPr="00323347" w:rsidRDefault="00323347">
      <w:pPr>
        <w:rPr>
          <w:i/>
        </w:rPr>
      </w:pPr>
      <w:r w:rsidRPr="00323347">
        <w:rPr>
          <w:i/>
        </w:rPr>
        <w:t xml:space="preserve">Graduate Assistant </w:t>
      </w:r>
      <w:proofErr w:type="spellStart"/>
      <w:r w:rsidRPr="00323347">
        <w:rPr>
          <w:i/>
        </w:rPr>
        <w:t>Kaoutar</w:t>
      </w:r>
      <w:proofErr w:type="spellEnd"/>
      <w:r w:rsidRPr="00323347">
        <w:rPr>
          <w:i/>
        </w:rPr>
        <w:t xml:space="preserve"> </w:t>
      </w:r>
      <w:proofErr w:type="spellStart"/>
      <w:r w:rsidRPr="00323347">
        <w:rPr>
          <w:i/>
        </w:rPr>
        <w:t>Houmairy</w:t>
      </w:r>
      <w:proofErr w:type="spellEnd"/>
      <w:r w:rsidRPr="00323347">
        <w:rPr>
          <w:i/>
        </w:rPr>
        <w:t xml:space="preserve"> and Research Assistant Shivani Janani, Babson College contributed to the completion of this </w:t>
      </w:r>
      <w:r>
        <w:rPr>
          <w:i/>
        </w:rPr>
        <w:t xml:space="preserve">class </w:t>
      </w:r>
      <w:r w:rsidRPr="00323347">
        <w:rPr>
          <w:i/>
        </w:rPr>
        <w:t>note.</w:t>
      </w:r>
    </w:p>
    <w:sectPr w:rsidR="004106B1" w:rsidRPr="00323347">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AA3" w:rsidRDefault="009C2AA3" w:rsidP="00245531">
      <w:r>
        <w:separator/>
      </w:r>
    </w:p>
  </w:endnote>
  <w:endnote w:type="continuationSeparator" w:id="0">
    <w:p w:rsidR="009C2AA3" w:rsidRDefault="009C2AA3" w:rsidP="0024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536439"/>
      <w:docPartObj>
        <w:docPartGallery w:val="Page Numbers (Bottom of Page)"/>
        <w:docPartUnique/>
      </w:docPartObj>
    </w:sdtPr>
    <w:sdtEndPr>
      <w:rPr>
        <w:noProof/>
      </w:rPr>
    </w:sdtEndPr>
    <w:sdtContent>
      <w:p w:rsidR="00F33983" w:rsidRDefault="00F33983">
        <w:pPr>
          <w:pStyle w:val="Footer"/>
          <w:jc w:val="right"/>
        </w:pPr>
        <w:r>
          <w:fldChar w:fldCharType="begin"/>
        </w:r>
        <w:r>
          <w:instrText xml:space="preserve"> PAGE   \* MERGEFORMAT </w:instrText>
        </w:r>
        <w:r>
          <w:fldChar w:fldCharType="separate"/>
        </w:r>
        <w:r w:rsidR="00A04F92">
          <w:rPr>
            <w:noProof/>
          </w:rPr>
          <w:t>2</w:t>
        </w:r>
        <w:r>
          <w:rPr>
            <w:noProof/>
          </w:rPr>
          <w:fldChar w:fldCharType="end"/>
        </w:r>
      </w:p>
    </w:sdtContent>
  </w:sdt>
  <w:p w:rsidR="00F33983" w:rsidRDefault="00F339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AA3" w:rsidRDefault="009C2AA3" w:rsidP="00245531">
      <w:r>
        <w:separator/>
      </w:r>
    </w:p>
  </w:footnote>
  <w:footnote w:type="continuationSeparator" w:id="0">
    <w:p w:rsidR="009C2AA3" w:rsidRDefault="009C2AA3" w:rsidP="00245531">
      <w:r>
        <w:continuationSeparator/>
      </w:r>
    </w:p>
  </w:footnote>
  <w:footnote w:id="1">
    <w:p w:rsidR="00F33983" w:rsidRDefault="00F33983">
      <w:pPr>
        <w:pStyle w:val="FootnoteText"/>
      </w:pPr>
      <w:r>
        <w:rPr>
          <w:rStyle w:val="FootnoteReference"/>
        </w:rPr>
        <w:footnoteRef/>
      </w:r>
      <w:r>
        <w:t xml:space="preserve"> </w:t>
      </w:r>
      <w:r w:rsidRPr="009B35EF">
        <w:t>stats.oecd.org/</w:t>
      </w:r>
      <w:proofErr w:type="spellStart"/>
      <w:r w:rsidRPr="009B35EF">
        <w:t>mei</w:t>
      </w:r>
      <w:proofErr w:type="spellEnd"/>
      <w:r w:rsidRPr="009B35EF">
        <w:t>/</w:t>
      </w:r>
      <w:proofErr w:type="spellStart"/>
      <w:r w:rsidRPr="009B35EF">
        <w:t>default.asp?rev</w:t>
      </w:r>
      <w:proofErr w:type="spellEnd"/>
      <w:r w:rsidRPr="009B35EF">
        <w:t>=4</w:t>
      </w:r>
    </w:p>
  </w:footnote>
  <w:footnote w:id="2">
    <w:p w:rsidR="00F33983" w:rsidRDefault="00F33983">
      <w:pPr>
        <w:pStyle w:val="FootnoteText"/>
      </w:pPr>
      <w:r>
        <w:rPr>
          <w:rStyle w:val="FootnoteReference"/>
        </w:rPr>
        <w:footnoteRef/>
      </w:r>
      <w:r>
        <w:t xml:space="preserve"> </w:t>
      </w:r>
      <w:r w:rsidRPr="009B35EF">
        <w:t>http://newyorkfed.org/research/calendars/nationalecon_cal.html</w:t>
      </w:r>
    </w:p>
  </w:footnote>
  <w:footnote w:id="3">
    <w:p w:rsidR="00F33983" w:rsidRDefault="00F33983">
      <w:pPr>
        <w:pStyle w:val="FootnoteText"/>
      </w:pPr>
      <w:r>
        <w:rPr>
          <w:rStyle w:val="FootnoteReference"/>
        </w:rPr>
        <w:footnoteRef/>
      </w:r>
      <w:r>
        <w:t xml:space="preserve"> </w:t>
      </w:r>
      <w:r w:rsidRPr="00C06386">
        <w:t>http://www.bls.gov/bls/newsrels.htm</w:t>
      </w:r>
    </w:p>
  </w:footnote>
  <w:footnote w:id="4">
    <w:p w:rsidR="00F33983" w:rsidRPr="00130C78" w:rsidRDefault="00F33983">
      <w:pPr>
        <w:pStyle w:val="FootnoteText"/>
      </w:pPr>
      <w:r>
        <w:rPr>
          <w:rStyle w:val="FootnoteReference"/>
        </w:rPr>
        <w:footnoteRef/>
      </w:r>
      <w:r>
        <w:t xml:space="preserve"> According to the International Labor Organization’s</w:t>
      </w:r>
      <w:r w:rsidRPr="00130C78">
        <w:t xml:space="preserve"> standards, individuals are unemployed if they are (1) without a job, (2) available to work (e.g., not in a hospital, asylum, or prison), and (3) actively seeking employment</w:t>
      </w:r>
      <w:r>
        <w:t>.</w:t>
      </w:r>
    </w:p>
  </w:footnote>
  <w:footnote w:id="5">
    <w:p w:rsidR="00F33983" w:rsidRDefault="00F33983">
      <w:pPr>
        <w:pStyle w:val="FootnoteText"/>
      </w:pPr>
      <w:r>
        <w:rPr>
          <w:rStyle w:val="FootnoteReference"/>
        </w:rPr>
        <w:footnoteRef/>
      </w:r>
      <w:r>
        <w:t xml:space="preserve">Managing in a Global Economy, Chapter 3, p. 84 </w:t>
      </w:r>
    </w:p>
  </w:footnote>
  <w:footnote w:id="6">
    <w:p w:rsidR="00F33983" w:rsidRDefault="00F33983">
      <w:pPr>
        <w:pStyle w:val="FootnoteText"/>
      </w:pPr>
      <w:r>
        <w:rPr>
          <w:rStyle w:val="FootnoteReference"/>
        </w:rPr>
        <w:footnoteRef/>
      </w:r>
      <w:r>
        <w:t xml:space="preserve"> Managing in a Global Economy, Chapter 3, p. 83</w:t>
      </w:r>
    </w:p>
  </w:footnote>
  <w:footnote w:id="7">
    <w:p w:rsidR="00F33983" w:rsidRDefault="00F33983">
      <w:pPr>
        <w:pStyle w:val="FootnoteText"/>
      </w:pPr>
      <w:r>
        <w:rPr>
          <w:rStyle w:val="FootnoteReference"/>
        </w:rPr>
        <w:footnoteRef/>
      </w:r>
      <w:r>
        <w:t xml:space="preserve"> Managing in a Global Economy, Chapter 3, p. 93</w:t>
      </w:r>
    </w:p>
  </w:footnote>
  <w:footnote w:id="8">
    <w:p w:rsidR="00F33983" w:rsidRDefault="00F33983">
      <w:pPr>
        <w:pStyle w:val="FootnoteText"/>
      </w:pPr>
      <w:r>
        <w:rPr>
          <w:rStyle w:val="FootnoteReference"/>
        </w:rPr>
        <w:footnoteRef/>
      </w:r>
      <w:r>
        <w:t xml:space="preserve"> </w:t>
      </w:r>
      <w:hyperlink r:id="rId1" w:history="1">
        <w:r>
          <w:rPr>
            <w:rStyle w:val="Hyperlink"/>
          </w:rPr>
          <w:t>http://www.investopedia.com/terms/i/inflation.asp</w:t>
        </w:r>
      </w:hyperlink>
    </w:p>
  </w:footnote>
  <w:footnote w:id="9">
    <w:p w:rsidR="00F33983" w:rsidRDefault="00F33983">
      <w:pPr>
        <w:pStyle w:val="FootnoteText"/>
      </w:pPr>
      <w:r>
        <w:rPr>
          <w:rStyle w:val="FootnoteReference"/>
        </w:rPr>
        <w:footnoteRef/>
      </w:r>
      <w:r>
        <w:t xml:space="preserve"> </w:t>
      </w:r>
      <w:hyperlink r:id="rId2" w:history="1">
        <w:r>
          <w:rPr>
            <w:rStyle w:val="Hyperlink"/>
          </w:rPr>
          <w:t>http://www.usinflationcalculator.com/inflation/current-inflation-rates/</w:t>
        </w:r>
      </w:hyperlink>
    </w:p>
  </w:footnote>
  <w:footnote w:id="10">
    <w:p w:rsidR="00F33983" w:rsidRDefault="00F33983">
      <w:pPr>
        <w:pStyle w:val="FootnoteText"/>
      </w:pPr>
      <w:r>
        <w:rPr>
          <w:rStyle w:val="FootnoteReference"/>
        </w:rPr>
        <w:footnoteRef/>
      </w:r>
      <w:r>
        <w:t xml:space="preserve"> </w:t>
      </w:r>
      <w:hyperlink r:id="rId3" w:history="1">
        <w:r>
          <w:rPr>
            <w:rStyle w:val="Hyperlink"/>
          </w:rPr>
          <w:t>http://www.investopedia.com/terms/c/consumer-sentiment.asp</w:t>
        </w:r>
      </w:hyperlink>
    </w:p>
  </w:footnote>
  <w:footnote w:id="11">
    <w:p w:rsidR="00773980" w:rsidRDefault="00773980" w:rsidP="00773980">
      <w:pPr>
        <w:pStyle w:val="FootnoteText"/>
      </w:pPr>
      <w:r>
        <w:rPr>
          <w:rStyle w:val="FootnoteReference"/>
        </w:rPr>
        <w:footnoteRef/>
      </w:r>
      <w:r>
        <w:t xml:space="preserve"> </w:t>
      </w:r>
      <w:hyperlink r:id="rId4" w:history="1">
        <w:r>
          <w:rPr>
            <w:rStyle w:val="Hyperlink"/>
          </w:rPr>
          <w:t>http://www.statisticbrain.com/global-consumer-confidence/</w:t>
        </w:r>
      </w:hyperlink>
    </w:p>
  </w:footnote>
  <w:footnote w:id="12">
    <w:p w:rsidR="00F33983" w:rsidRDefault="00F33983">
      <w:pPr>
        <w:pStyle w:val="FootnoteText"/>
      </w:pPr>
      <w:r>
        <w:rPr>
          <w:rStyle w:val="FootnoteReference"/>
        </w:rPr>
        <w:footnoteRef/>
      </w:r>
      <w:r>
        <w:t xml:space="preserve"> </w:t>
      </w:r>
      <w:r w:rsidRPr="00CE6925">
        <w:t>http://www.investopedia.com/terms/d/deficit.asp</w:t>
      </w:r>
    </w:p>
  </w:footnote>
  <w:footnote w:id="13">
    <w:p w:rsidR="00CE6925" w:rsidRDefault="00CE6925">
      <w:pPr>
        <w:pStyle w:val="FootnoteText"/>
      </w:pPr>
      <w:r>
        <w:rPr>
          <w:rStyle w:val="FootnoteReference"/>
        </w:rPr>
        <w:footnoteRef/>
      </w:r>
      <w:r>
        <w:t xml:space="preserve"> </w:t>
      </w:r>
      <w:r w:rsidRPr="00CE6925">
        <w:t>http://www.marketwatch.com/story/us-budget-deficit-down-35-through-august-2013-09-12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749A4"/>
    <w:multiLevelType w:val="hybridMultilevel"/>
    <w:tmpl w:val="93BC077C"/>
    <w:lvl w:ilvl="0" w:tplc="29108D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5755F5"/>
    <w:multiLevelType w:val="hybridMultilevel"/>
    <w:tmpl w:val="53CE6228"/>
    <w:lvl w:ilvl="0" w:tplc="32927A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6B1"/>
    <w:rsid w:val="000304B6"/>
    <w:rsid w:val="0008724E"/>
    <w:rsid w:val="000F1AA0"/>
    <w:rsid w:val="000F6401"/>
    <w:rsid w:val="00130C78"/>
    <w:rsid w:val="00151FEF"/>
    <w:rsid w:val="00186BA4"/>
    <w:rsid w:val="00233B9B"/>
    <w:rsid w:val="00245531"/>
    <w:rsid w:val="002F64D8"/>
    <w:rsid w:val="00323347"/>
    <w:rsid w:val="00390289"/>
    <w:rsid w:val="003B0056"/>
    <w:rsid w:val="004106B1"/>
    <w:rsid w:val="00453210"/>
    <w:rsid w:val="004705BC"/>
    <w:rsid w:val="004B1E59"/>
    <w:rsid w:val="004F6E87"/>
    <w:rsid w:val="005434A4"/>
    <w:rsid w:val="00567164"/>
    <w:rsid w:val="007122BD"/>
    <w:rsid w:val="00763C65"/>
    <w:rsid w:val="00773980"/>
    <w:rsid w:val="007A44DB"/>
    <w:rsid w:val="007A5BDA"/>
    <w:rsid w:val="007D6042"/>
    <w:rsid w:val="00801A90"/>
    <w:rsid w:val="0086311B"/>
    <w:rsid w:val="008644EE"/>
    <w:rsid w:val="0088585B"/>
    <w:rsid w:val="00887F33"/>
    <w:rsid w:val="00897423"/>
    <w:rsid w:val="008A5BBB"/>
    <w:rsid w:val="008A7521"/>
    <w:rsid w:val="008A7BC6"/>
    <w:rsid w:val="00927C7A"/>
    <w:rsid w:val="00971525"/>
    <w:rsid w:val="009B35EF"/>
    <w:rsid w:val="009C2AA3"/>
    <w:rsid w:val="00A04F92"/>
    <w:rsid w:val="00A12D30"/>
    <w:rsid w:val="00A23DE8"/>
    <w:rsid w:val="00B508AB"/>
    <w:rsid w:val="00BE658B"/>
    <w:rsid w:val="00C06386"/>
    <w:rsid w:val="00CB0D3D"/>
    <w:rsid w:val="00CE6925"/>
    <w:rsid w:val="00D2752B"/>
    <w:rsid w:val="00DB2FD6"/>
    <w:rsid w:val="00DE36FB"/>
    <w:rsid w:val="00EC5F96"/>
    <w:rsid w:val="00ED328D"/>
    <w:rsid w:val="00F23C74"/>
    <w:rsid w:val="00F33983"/>
    <w:rsid w:val="00FB2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1525"/>
    <w:rPr>
      <w:rFonts w:ascii="Tahoma" w:hAnsi="Tahoma" w:cs="Tahoma"/>
      <w:sz w:val="16"/>
      <w:szCs w:val="16"/>
    </w:rPr>
  </w:style>
  <w:style w:type="character" w:customStyle="1" w:styleId="BalloonTextChar">
    <w:name w:val="Balloon Text Char"/>
    <w:basedOn w:val="DefaultParagraphFont"/>
    <w:link w:val="BalloonText"/>
    <w:uiPriority w:val="99"/>
    <w:semiHidden/>
    <w:rsid w:val="00971525"/>
    <w:rPr>
      <w:rFonts w:ascii="Tahoma" w:hAnsi="Tahoma" w:cs="Tahoma"/>
      <w:sz w:val="16"/>
      <w:szCs w:val="16"/>
    </w:rPr>
  </w:style>
  <w:style w:type="character" w:styleId="Hyperlink">
    <w:name w:val="Hyperlink"/>
    <w:basedOn w:val="DefaultParagraphFont"/>
    <w:uiPriority w:val="99"/>
    <w:unhideWhenUsed/>
    <w:rsid w:val="008A7BC6"/>
    <w:rPr>
      <w:strike w:val="0"/>
      <w:dstrike w:val="0"/>
      <w:color w:val="0066CC"/>
      <w:u w:val="none"/>
      <w:effect w:val="none"/>
    </w:rPr>
  </w:style>
  <w:style w:type="character" w:styleId="Strong">
    <w:name w:val="Strong"/>
    <w:basedOn w:val="DefaultParagraphFont"/>
    <w:uiPriority w:val="22"/>
    <w:qFormat/>
    <w:rsid w:val="008A7BC6"/>
    <w:rPr>
      <w:b/>
      <w:bCs/>
    </w:rPr>
  </w:style>
  <w:style w:type="paragraph" w:styleId="FootnoteText">
    <w:name w:val="footnote text"/>
    <w:basedOn w:val="Normal"/>
    <w:link w:val="FootnoteTextChar"/>
    <w:uiPriority w:val="99"/>
    <w:semiHidden/>
    <w:unhideWhenUsed/>
    <w:rsid w:val="00245531"/>
    <w:rPr>
      <w:sz w:val="20"/>
      <w:szCs w:val="20"/>
    </w:rPr>
  </w:style>
  <w:style w:type="character" w:customStyle="1" w:styleId="FootnoteTextChar">
    <w:name w:val="Footnote Text Char"/>
    <w:basedOn w:val="DefaultParagraphFont"/>
    <w:link w:val="FootnoteText"/>
    <w:uiPriority w:val="99"/>
    <w:semiHidden/>
    <w:rsid w:val="00245531"/>
    <w:rPr>
      <w:sz w:val="20"/>
      <w:szCs w:val="20"/>
    </w:rPr>
  </w:style>
  <w:style w:type="character" w:styleId="FootnoteReference">
    <w:name w:val="footnote reference"/>
    <w:basedOn w:val="DefaultParagraphFont"/>
    <w:uiPriority w:val="99"/>
    <w:semiHidden/>
    <w:unhideWhenUsed/>
    <w:rsid w:val="00245531"/>
    <w:rPr>
      <w:vertAlign w:val="superscript"/>
    </w:rPr>
  </w:style>
  <w:style w:type="paragraph" w:styleId="ListParagraph">
    <w:name w:val="List Paragraph"/>
    <w:basedOn w:val="Normal"/>
    <w:uiPriority w:val="34"/>
    <w:qFormat/>
    <w:rsid w:val="007122BD"/>
    <w:pPr>
      <w:ind w:left="720"/>
      <w:contextualSpacing/>
    </w:pPr>
  </w:style>
  <w:style w:type="table" w:styleId="TableGrid">
    <w:name w:val="Table Grid"/>
    <w:basedOn w:val="TableNormal"/>
    <w:uiPriority w:val="59"/>
    <w:rsid w:val="008A5BBB"/>
    <w:pPr>
      <w:spacing w:beforeAutospacing="1" w:afterAutospacing="1"/>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06386"/>
    <w:pPr>
      <w:tabs>
        <w:tab w:val="center" w:pos="4680"/>
        <w:tab w:val="right" w:pos="9360"/>
      </w:tabs>
    </w:pPr>
  </w:style>
  <w:style w:type="character" w:customStyle="1" w:styleId="HeaderChar">
    <w:name w:val="Header Char"/>
    <w:basedOn w:val="DefaultParagraphFont"/>
    <w:link w:val="Header"/>
    <w:uiPriority w:val="99"/>
    <w:rsid w:val="00C06386"/>
  </w:style>
  <w:style w:type="paragraph" w:styleId="Footer">
    <w:name w:val="footer"/>
    <w:basedOn w:val="Normal"/>
    <w:link w:val="FooterChar"/>
    <w:uiPriority w:val="99"/>
    <w:unhideWhenUsed/>
    <w:rsid w:val="00C06386"/>
    <w:pPr>
      <w:tabs>
        <w:tab w:val="center" w:pos="4680"/>
        <w:tab w:val="right" w:pos="9360"/>
      </w:tabs>
    </w:pPr>
  </w:style>
  <w:style w:type="character" w:customStyle="1" w:styleId="FooterChar">
    <w:name w:val="Footer Char"/>
    <w:basedOn w:val="DefaultParagraphFont"/>
    <w:link w:val="Footer"/>
    <w:uiPriority w:val="99"/>
    <w:rsid w:val="00C063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1525"/>
    <w:rPr>
      <w:rFonts w:ascii="Tahoma" w:hAnsi="Tahoma" w:cs="Tahoma"/>
      <w:sz w:val="16"/>
      <w:szCs w:val="16"/>
    </w:rPr>
  </w:style>
  <w:style w:type="character" w:customStyle="1" w:styleId="BalloonTextChar">
    <w:name w:val="Balloon Text Char"/>
    <w:basedOn w:val="DefaultParagraphFont"/>
    <w:link w:val="BalloonText"/>
    <w:uiPriority w:val="99"/>
    <w:semiHidden/>
    <w:rsid w:val="00971525"/>
    <w:rPr>
      <w:rFonts w:ascii="Tahoma" w:hAnsi="Tahoma" w:cs="Tahoma"/>
      <w:sz w:val="16"/>
      <w:szCs w:val="16"/>
    </w:rPr>
  </w:style>
  <w:style w:type="character" w:styleId="Hyperlink">
    <w:name w:val="Hyperlink"/>
    <w:basedOn w:val="DefaultParagraphFont"/>
    <w:uiPriority w:val="99"/>
    <w:unhideWhenUsed/>
    <w:rsid w:val="008A7BC6"/>
    <w:rPr>
      <w:strike w:val="0"/>
      <w:dstrike w:val="0"/>
      <w:color w:val="0066CC"/>
      <w:u w:val="none"/>
      <w:effect w:val="none"/>
    </w:rPr>
  </w:style>
  <w:style w:type="character" w:styleId="Strong">
    <w:name w:val="Strong"/>
    <w:basedOn w:val="DefaultParagraphFont"/>
    <w:uiPriority w:val="22"/>
    <w:qFormat/>
    <w:rsid w:val="008A7BC6"/>
    <w:rPr>
      <w:b/>
      <w:bCs/>
    </w:rPr>
  </w:style>
  <w:style w:type="paragraph" w:styleId="FootnoteText">
    <w:name w:val="footnote text"/>
    <w:basedOn w:val="Normal"/>
    <w:link w:val="FootnoteTextChar"/>
    <w:uiPriority w:val="99"/>
    <w:semiHidden/>
    <w:unhideWhenUsed/>
    <w:rsid w:val="00245531"/>
    <w:rPr>
      <w:sz w:val="20"/>
      <w:szCs w:val="20"/>
    </w:rPr>
  </w:style>
  <w:style w:type="character" w:customStyle="1" w:styleId="FootnoteTextChar">
    <w:name w:val="Footnote Text Char"/>
    <w:basedOn w:val="DefaultParagraphFont"/>
    <w:link w:val="FootnoteText"/>
    <w:uiPriority w:val="99"/>
    <w:semiHidden/>
    <w:rsid w:val="00245531"/>
    <w:rPr>
      <w:sz w:val="20"/>
      <w:szCs w:val="20"/>
    </w:rPr>
  </w:style>
  <w:style w:type="character" w:styleId="FootnoteReference">
    <w:name w:val="footnote reference"/>
    <w:basedOn w:val="DefaultParagraphFont"/>
    <w:uiPriority w:val="99"/>
    <w:semiHidden/>
    <w:unhideWhenUsed/>
    <w:rsid w:val="00245531"/>
    <w:rPr>
      <w:vertAlign w:val="superscript"/>
    </w:rPr>
  </w:style>
  <w:style w:type="paragraph" w:styleId="ListParagraph">
    <w:name w:val="List Paragraph"/>
    <w:basedOn w:val="Normal"/>
    <w:uiPriority w:val="34"/>
    <w:qFormat/>
    <w:rsid w:val="007122BD"/>
    <w:pPr>
      <w:ind w:left="720"/>
      <w:contextualSpacing/>
    </w:pPr>
  </w:style>
  <w:style w:type="table" w:styleId="TableGrid">
    <w:name w:val="Table Grid"/>
    <w:basedOn w:val="TableNormal"/>
    <w:uiPriority w:val="59"/>
    <w:rsid w:val="008A5BBB"/>
    <w:pPr>
      <w:spacing w:beforeAutospacing="1" w:afterAutospacing="1"/>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06386"/>
    <w:pPr>
      <w:tabs>
        <w:tab w:val="center" w:pos="4680"/>
        <w:tab w:val="right" w:pos="9360"/>
      </w:tabs>
    </w:pPr>
  </w:style>
  <w:style w:type="character" w:customStyle="1" w:styleId="HeaderChar">
    <w:name w:val="Header Char"/>
    <w:basedOn w:val="DefaultParagraphFont"/>
    <w:link w:val="Header"/>
    <w:uiPriority w:val="99"/>
    <w:rsid w:val="00C06386"/>
  </w:style>
  <w:style w:type="paragraph" w:styleId="Footer">
    <w:name w:val="footer"/>
    <w:basedOn w:val="Normal"/>
    <w:link w:val="FooterChar"/>
    <w:uiPriority w:val="99"/>
    <w:unhideWhenUsed/>
    <w:rsid w:val="00C06386"/>
    <w:pPr>
      <w:tabs>
        <w:tab w:val="center" w:pos="4680"/>
        <w:tab w:val="right" w:pos="9360"/>
      </w:tabs>
    </w:pPr>
  </w:style>
  <w:style w:type="character" w:customStyle="1" w:styleId="FooterChar">
    <w:name w:val="Footer Char"/>
    <w:basedOn w:val="DefaultParagraphFont"/>
    <w:link w:val="Footer"/>
    <w:uiPriority w:val="99"/>
    <w:rsid w:val="00C06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5052">
      <w:bodyDiv w:val="1"/>
      <w:marLeft w:val="0"/>
      <w:marRight w:val="0"/>
      <w:marTop w:val="0"/>
      <w:marBottom w:val="0"/>
      <w:divBdr>
        <w:top w:val="none" w:sz="0" w:space="0" w:color="auto"/>
        <w:left w:val="none" w:sz="0" w:space="0" w:color="auto"/>
        <w:bottom w:val="none" w:sz="0" w:space="0" w:color="auto"/>
        <w:right w:val="none" w:sz="0" w:space="0" w:color="auto"/>
      </w:divBdr>
    </w:div>
    <w:div w:id="181557509">
      <w:bodyDiv w:val="1"/>
      <w:marLeft w:val="0"/>
      <w:marRight w:val="0"/>
      <w:marTop w:val="0"/>
      <w:marBottom w:val="0"/>
      <w:divBdr>
        <w:top w:val="none" w:sz="0" w:space="0" w:color="auto"/>
        <w:left w:val="none" w:sz="0" w:space="0" w:color="auto"/>
        <w:bottom w:val="none" w:sz="0" w:space="0" w:color="auto"/>
        <w:right w:val="none" w:sz="0" w:space="0" w:color="auto"/>
      </w:divBdr>
    </w:div>
    <w:div w:id="231164511">
      <w:bodyDiv w:val="1"/>
      <w:marLeft w:val="0"/>
      <w:marRight w:val="0"/>
      <w:marTop w:val="0"/>
      <w:marBottom w:val="0"/>
      <w:divBdr>
        <w:top w:val="none" w:sz="0" w:space="0" w:color="auto"/>
        <w:left w:val="none" w:sz="0" w:space="0" w:color="auto"/>
        <w:bottom w:val="none" w:sz="0" w:space="0" w:color="auto"/>
        <w:right w:val="none" w:sz="0" w:space="0" w:color="auto"/>
      </w:divBdr>
    </w:div>
    <w:div w:id="519122065">
      <w:bodyDiv w:val="1"/>
      <w:marLeft w:val="0"/>
      <w:marRight w:val="0"/>
      <w:marTop w:val="0"/>
      <w:marBottom w:val="0"/>
      <w:divBdr>
        <w:top w:val="none" w:sz="0" w:space="0" w:color="auto"/>
        <w:left w:val="none" w:sz="0" w:space="0" w:color="auto"/>
        <w:bottom w:val="none" w:sz="0" w:space="0" w:color="auto"/>
        <w:right w:val="none" w:sz="0" w:space="0" w:color="auto"/>
      </w:divBdr>
    </w:div>
    <w:div w:id="546449302">
      <w:bodyDiv w:val="1"/>
      <w:marLeft w:val="0"/>
      <w:marRight w:val="0"/>
      <w:marTop w:val="0"/>
      <w:marBottom w:val="0"/>
      <w:divBdr>
        <w:top w:val="none" w:sz="0" w:space="0" w:color="auto"/>
        <w:left w:val="none" w:sz="0" w:space="0" w:color="auto"/>
        <w:bottom w:val="none" w:sz="0" w:space="0" w:color="auto"/>
        <w:right w:val="none" w:sz="0" w:space="0" w:color="auto"/>
      </w:divBdr>
      <w:divsChild>
        <w:div w:id="998843839">
          <w:marLeft w:val="0"/>
          <w:marRight w:val="0"/>
          <w:marTop w:val="0"/>
          <w:marBottom w:val="0"/>
          <w:divBdr>
            <w:top w:val="none" w:sz="0" w:space="0" w:color="auto"/>
            <w:left w:val="none" w:sz="0" w:space="0" w:color="auto"/>
            <w:bottom w:val="none" w:sz="0" w:space="0" w:color="auto"/>
            <w:right w:val="none" w:sz="0" w:space="0" w:color="auto"/>
          </w:divBdr>
          <w:divsChild>
            <w:div w:id="39466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91794">
      <w:bodyDiv w:val="1"/>
      <w:marLeft w:val="0"/>
      <w:marRight w:val="0"/>
      <w:marTop w:val="0"/>
      <w:marBottom w:val="0"/>
      <w:divBdr>
        <w:top w:val="none" w:sz="0" w:space="0" w:color="auto"/>
        <w:left w:val="none" w:sz="0" w:space="0" w:color="auto"/>
        <w:bottom w:val="none" w:sz="0" w:space="0" w:color="auto"/>
        <w:right w:val="none" w:sz="0" w:space="0" w:color="auto"/>
      </w:divBdr>
      <w:divsChild>
        <w:div w:id="939412185">
          <w:marLeft w:val="0"/>
          <w:marRight w:val="0"/>
          <w:marTop w:val="0"/>
          <w:marBottom w:val="0"/>
          <w:divBdr>
            <w:top w:val="single" w:sz="6" w:space="2" w:color="D9E4E8"/>
            <w:left w:val="single" w:sz="6" w:space="2" w:color="D9E4E8"/>
            <w:bottom w:val="none" w:sz="0" w:space="0" w:color="auto"/>
            <w:right w:val="single" w:sz="6" w:space="2" w:color="D9E4E8"/>
          </w:divBdr>
        </w:div>
      </w:divsChild>
    </w:div>
    <w:div w:id="1172798522">
      <w:bodyDiv w:val="1"/>
      <w:marLeft w:val="0"/>
      <w:marRight w:val="0"/>
      <w:marTop w:val="0"/>
      <w:marBottom w:val="0"/>
      <w:divBdr>
        <w:top w:val="none" w:sz="0" w:space="0" w:color="auto"/>
        <w:left w:val="none" w:sz="0" w:space="0" w:color="auto"/>
        <w:bottom w:val="none" w:sz="0" w:space="0" w:color="auto"/>
        <w:right w:val="none" w:sz="0" w:space="0" w:color="auto"/>
      </w:divBdr>
    </w:div>
    <w:div w:id="1214385375">
      <w:bodyDiv w:val="1"/>
      <w:marLeft w:val="0"/>
      <w:marRight w:val="0"/>
      <w:marTop w:val="0"/>
      <w:marBottom w:val="0"/>
      <w:divBdr>
        <w:top w:val="none" w:sz="0" w:space="0" w:color="auto"/>
        <w:left w:val="none" w:sz="0" w:space="0" w:color="auto"/>
        <w:bottom w:val="none" w:sz="0" w:space="0" w:color="auto"/>
        <w:right w:val="none" w:sz="0" w:space="0" w:color="auto"/>
      </w:divBdr>
    </w:div>
    <w:div w:id="1413160079">
      <w:bodyDiv w:val="1"/>
      <w:marLeft w:val="0"/>
      <w:marRight w:val="0"/>
      <w:marTop w:val="0"/>
      <w:marBottom w:val="0"/>
      <w:divBdr>
        <w:top w:val="none" w:sz="0" w:space="0" w:color="auto"/>
        <w:left w:val="none" w:sz="0" w:space="0" w:color="auto"/>
        <w:bottom w:val="none" w:sz="0" w:space="0" w:color="auto"/>
        <w:right w:val="none" w:sz="0" w:space="0" w:color="auto"/>
      </w:divBdr>
    </w:div>
    <w:div w:id="1586762709">
      <w:bodyDiv w:val="1"/>
      <w:marLeft w:val="0"/>
      <w:marRight w:val="0"/>
      <w:marTop w:val="0"/>
      <w:marBottom w:val="0"/>
      <w:divBdr>
        <w:top w:val="none" w:sz="0" w:space="0" w:color="auto"/>
        <w:left w:val="none" w:sz="0" w:space="0" w:color="auto"/>
        <w:bottom w:val="none" w:sz="0" w:space="0" w:color="auto"/>
        <w:right w:val="none" w:sz="0" w:space="0" w:color="auto"/>
      </w:divBdr>
    </w:div>
    <w:div w:id="1691107490">
      <w:bodyDiv w:val="1"/>
      <w:marLeft w:val="0"/>
      <w:marRight w:val="0"/>
      <w:marTop w:val="0"/>
      <w:marBottom w:val="0"/>
      <w:divBdr>
        <w:top w:val="none" w:sz="0" w:space="0" w:color="auto"/>
        <w:left w:val="none" w:sz="0" w:space="0" w:color="auto"/>
        <w:bottom w:val="none" w:sz="0" w:space="0" w:color="auto"/>
        <w:right w:val="none" w:sz="0" w:space="0" w:color="auto"/>
      </w:divBdr>
      <w:divsChild>
        <w:div w:id="1703628081">
          <w:marLeft w:val="0"/>
          <w:marRight w:val="0"/>
          <w:marTop w:val="0"/>
          <w:marBottom w:val="0"/>
          <w:divBdr>
            <w:top w:val="none" w:sz="0" w:space="0" w:color="auto"/>
            <w:left w:val="none" w:sz="0" w:space="0" w:color="auto"/>
            <w:bottom w:val="none" w:sz="0" w:space="0" w:color="auto"/>
            <w:right w:val="none" w:sz="0" w:space="0" w:color="auto"/>
          </w:divBdr>
          <w:divsChild>
            <w:div w:id="497960444">
              <w:marLeft w:val="0"/>
              <w:marRight w:val="0"/>
              <w:marTop w:val="0"/>
              <w:marBottom w:val="0"/>
              <w:divBdr>
                <w:top w:val="none" w:sz="0" w:space="0" w:color="auto"/>
                <w:left w:val="none" w:sz="0" w:space="0" w:color="auto"/>
                <w:bottom w:val="none" w:sz="0" w:space="0" w:color="auto"/>
                <w:right w:val="none" w:sz="0" w:space="0" w:color="auto"/>
              </w:divBdr>
              <w:divsChild>
                <w:div w:id="2031491998">
                  <w:marLeft w:val="0"/>
                  <w:marRight w:val="4500"/>
                  <w:marTop w:val="0"/>
                  <w:marBottom w:val="0"/>
                  <w:divBdr>
                    <w:top w:val="none" w:sz="0" w:space="0" w:color="auto"/>
                    <w:left w:val="none" w:sz="0" w:space="0" w:color="auto"/>
                    <w:bottom w:val="none" w:sz="0" w:space="0" w:color="auto"/>
                    <w:right w:val="none" w:sz="0" w:space="0" w:color="auto"/>
                  </w:divBdr>
                  <w:divsChild>
                    <w:div w:id="2083915226">
                      <w:marLeft w:val="0"/>
                      <w:marRight w:val="0"/>
                      <w:marTop w:val="0"/>
                      <w:marBottom w:val="0"/>
                      <w:divBdr>
                        <w:top w:val="none" w:sz="0" w:space="0" w:color="auto"/>
                        <w:left w:val="none" w:sz="0" w:space="0" w:color="auto"/>
                        <w:bottom w:val="none" w:sz="0" w:space="0" w:color="auto"/>
                        <w:right w:val="none" w:sz="0" w:space="0" w:color="auto"/>
                      </w:divBdr>
                      <w:divsChild>
                        <w:div w:id="548808093">
                          <w:marLeft w:val="0"/>
                          <w:marRight w:val="0"/>
                          <w:marTop w:val="0"/>
                          <w:marBottom w:val="0"/>
                          <w:divBdr>
                            <w:top w:val="none" w:sz="0" w:space="0" w:color="auto"/>
                            <w:left w:val="none" w:sz="0" w:space="0" w:color="auto"/>
                            <w:bottom w:val="none" w:sz="0" w:space="0" w:color="auto"/>
                            <w:right w:val="none" w:sz="0" w:space="0" w:color="auto"/>
                          </w:divBdr>
                          <w:divsChild>
                            <w:div w:id="956331978">
                              <w:marLeft w:val="0"/>
                              <w:marRight w:val="0"/>
                              <w:marTop w:val="0"/>
                              <w:marBottom w:val="0"/>
                              <w:divBdr>
                                <w:top w:val="none" w:sz="0" w:space="0" w:color="auto"/>
                                <w:left w:val="none" w:sz="0" w:space="0" w:color="auto"/>
                                <w:bottom w:val="none" w:sz="0" w:space="0" w:color="auto"/>
                                <w:right w:val="none" w:sz="0" w:space="0" w:color="auto"/>
                              </w:divBdr>
                              <w:divsChild>
                                <w:div w:id="894393135">
                                  <w:marLeft w:val="0"/>
                                  <w:marRight w:val="0"/>
                                  <w:marTop w:val="0"/>
                                  <w:marBottom w:val="0"/>
                                  <w:divBdr>
                                    <w:top w:val="none" w:sz="0" w:space="0" w:color="auto"/>
                                    <w:left w:val="none" w:sz="0" w:space="0" w:color="auto"/>
                                    <w:bottom w:val="none" w:sz="0" w:space="0" w:color="auto"/>
                                    <w:right w:val="none" w:sz="0" w:space="0" w:color="auto"/>
                                  </w:divBdr>
                                  <w:divsChild>
                                    <w:div w:id="1001733869">
                                      <w:marLeft w:val="0"/>
                                      <w:marRight w:val="0"/>
                                      <w:marTop w:val="0"/>
                                      <w:marBottom w:val="300"/>
                                      <w:divBdr>
                                        <w:top w:val="none" w:sz="0" w:space="0" w:color="auto"/>
                                        <w:left w:val="none" w:sz="0" w:space="0" w:color="auto"/>
                                        <w:bottom w:val="none" w:sz="0" w:space="0" w:color="auto"/>
                                        <w:right w:val="none" w:sz="0" w:space="0" w:color="auto"/>
                                      </w:divBdr>
                                      <w:divsChild>
                                        <w:div w:id="1875196717">
                                          <w:marLeft w:val="0"/>
                                          <w:marRight w:val="0"/>
                                          <w:marTop w:val="0"/>
                                          <w:marBottom w:val="0"/>
                                          <w:divBdr>
                                            <w:top w:val="none" w:sz="0" w:space="0" w:color="auto"/>
                                            <w:left w:val="none" w:sz="0" w:space="0" w:color="auto"/>
                                            <w:bottom w:val="none" w:sz="0" w:space="0" w:color="auto"/>
                                            <w:right w:val="none" w:sz="0" w:space="0" w:color="auto"/>
                                          </w:divBdr>
                                          <w:divsChild>
                                            <w:div w:id="1701584471">
                                              <w:marLeft w:val="0"/>
                                              <w:marRight w:val="0"/>
                                              <w:marTop w:val="0"/>
                                              <w:marBottom w:val="0"/>
                                              <w:divBdr>
                                                <w:top w:val="none" w:sz="0" w:space="0" w:color="auto"/>
                                                <w:left w:val="none" w:sz="0" w:space="0" w:color="auto"/>
                                                <w:bottom w:val="none" w:sz="0" w:space="0" w:color="auto"/>
                                                <w:right w:val="none" w:sz="0" w:space="0" w:color="auto"/>
                                              </w:divBdr>
                                              <w:divsChild>
                                                <w:div w:id="15644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2075107">
      <w:bodyDiv w:val="1"/>
      <w:marLeft w:val="0"/>
      <w:marRight w:val="0"/>
      <w:marTop w:val="0"/>
      <w:marBottom w:val="0"/>
      <w:divBdr>
        <w:top w:val="none" w:sz="0" w:space="0" w:color="auto"/>
        <w:left w:val="none" w:sz="0" w:space="0" w:color="auto"/>
        <w:bottom w:val="none" w:sz="0" w:space="0" w:color="auto"/>
        <w:right w:val="none" w:sz="0" w:space="0" w:color="auto"/>
      </w:divBdr>
    </w:div>
    <w:div w:id="194426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gif"/><Relationship Id="rId4" Type="http://schemas.microsoft.com/office/2007/relationships/stylesWithEffects" Target="stylesWithEffects.xml"/><Relationship Id="rId9" Type="http://schemas.openxmlformats.org/officeDocument/2006/relationships/hyperlink" Target="http://www.bea.go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investopedia.com/terms/c/consumer-sentiment.asp" TargetMode="External"/><Relationship Id="rId2" Type="http://schemas.openxmlformats.org/officeDocument/2006/relationships/hyperlink" Target="http://www.usinflationcalculator.com/inflation/current-inflation-rates/" TargetMode="External"/><Relationship Id="rId1" Type="http://schemas.openxmlformats.org/officeDocument/2006/relationships/hyperlink" Target="http://www.investopedia.com/terms/i/inflation.asp" TargetMode="External"/><Relationship Id="rId4" Type="http://schemas.openxmlformats.org/officeDocument/2006/relationships/hyperlink" Target="http://www.statisticbrain.com/global-consumer-confidenc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8\Documents\GA%20-%20Wendy\Economic%20indicators%20-%20Budget%20difici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2680749040985262"/>
          <c:y val="3.0697553918617802E-2"/>
          <c:w val="0.85396174035937811"/>
          <c:h val="0.91420485550648523"/>
        </c:manualLayout>
      </c:layout>
      <c:barChart>
        <c:barDir val="col"/>
        <c:grouping val="clustered"/>
        <c:varyColors val="0"/>
        <c:ser>
          <c:idx val="1"/>
          <c:order val="0"/>
          <c:invertIfNegative val="0"/>
          <c:cat>
            <c:numRef>
              <c:f>'Budget deficit'!$D$2:$D$11</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'Budget deficit'!$E$2:$E$11</c:f>
              <c:numCache>
                <c:formatCode>"$"#,##0.00</c:formatCode>
                <c:ptCount val="10"/>
                <c:pt idx="0">
                  <c:v>-377.58499999999998</c:v>
                </c:pt>
                <c:pt idx="1">
                  <c:v>-412.72699999999998</c:v>
                </c:pt>
                <c:pt idx="2">
                  <c:v>-318.346</c:v>
                </c:pt>
                <c:pt idx="3">
                  <c:v>-248.18100000000001</c:v>
                </c:pt>
                <c:pt idx="4">
                  <c:v>-160.70099999999999</c:v>
                </c:pt>
                <c:pt idx="5">
                  <c:v>-458.553</c:v>
                </c:pt>
                <c:pt idx="6">
                  <c:v>-1412.6880000000001</c:v>
                </c:pt>
                <c:pt idx="7">
                  <c:v>-1293.489</c:v>
                </c:pt>
                <c:pt idx="8" formatCode="#,##0.0">
                  <c:v>-1295.5720483030691</c:v>
                </c:pt>
                <c:pt idx="9" formatCode="#,##0.0">
                  <c:v>-1086.9630202840585</c:v>
                </c:pt>
              </c:numCache>
            </c:numRef>
          </c:val>
        </c:ser>
        <c:dLbls>
          <c:showLegendKey val="0"/>
          <c:showVal val="0"/>
          <c:showCatName val="0"/>
          <c:showSerName val="0"/>
          <c:showPercent val="0"/>
          <c:showBubbleSize val="0"/>
        </c:dLbls>
        <c:gapWidth val="75"/>
        <c:overlap val="-25"/>
        <c:axId val="362611456"/>
        <c:axId val="362612992"/>
      </c:barChart>
      <c:catAx>
        <c:axId val="362611456"/>
        <c:scaling>
          <c:orientation val="minMax"/>
        </c:scaling>
        <c:delete val="0"/>
        <c:axPos val="b"/>
        <c:numFmt formatCode="General" sourceLinked="1"/>
        <c:majorTickMark val="none"/>
        <c:minorTickMark val="none"/>
        <c:tickLblPos val="nextTo"/>
        <c:txPr>
          <a:bodyPr/>
          <a:lstStyle/>
          <a:p>
            <a:pPr>
              <a:defRPr b="1"/>
            </a:pPr>
            <a:endParaRPr lang="en-US"/>
          </a:p>
        </c:txPr>
        <c:crossAx val="362612992"/>
        <c:crosses val="autoZero"/>
        <c:auto val="1"/>
        <c:lblAlgn val="ctr"/>
        <c:lblOffset val="100"/>
        <c:noMultiLvlLbl val="0"/>
      </c:catAx>
      <c:valAx>
        <c:axId val="362612992"/>
        <c:scaling>
          <c:orientation val="minMax"/>
        </c:scaling>
        <c:delete val="0"/>
        <c:axPos val="l"/>
        <c:majorGridlines/>
        <c:numFmt formatCode="&quot;$&quot;#,##0.00" sourceLinked="1"/>
        <c:majorTickMark val="none"/>
        <c:minorTickMark val="none"/>
        <c:tickLblPos val="nextTo"/>
        <c:crossAx val="36261145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6E7AD-CC9F-4822-9052-7C140F64F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1505</TotalTime>
  <Pages>5</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2013-09-11T19:19:00Z</cp:lastPrinted>
  <dcterms:created xsi:type="dcterms:W3CDTF">2013-09-10T20:10:00Z</dcterms:created>
  <dcterms:modified xsi:type="dcterms:W3CDTF">2013-09-12T21:23:00Z</dcterms:modified>
</cp:coreProperties>
</file>