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5D9" w:rsidRPr="00DC42FE" w:rsidRDefault="00FD5EA1" w:rsidP="00DC42FE">
      <w:pPr>
        <w:spacing w:line="276" w:lineRule="auto"/>
        <w:jc w:val="center"/>
        <w:rPr>
          <w:b/>
          <w:caps/>
        </w:rPr>
      </w:pPr>
      <w:r w:rsidRPr="00DC42FE">
        <w:rPr>
          <w:b/>
          <w:caps/>
        </w:rPr>
        <w:t>Health</w:t>
      </w:r>
      <w:r w:rsidR="00AB73BE">
        <w:rPr>
          <w:b/>
          <w:caps/>
        </w:rPr>
        <w:t>,</w:t>
      </w:r>
      <w:r w:rsidRPr="00DC42FE">
        <w:rPr>
          <w:b/>
          <w:caps/>
        </w:rPr>
        <w:t xml:space="preserve"> Disability &amp; Long-term Care</w:t>
      </w:r>
      <w:r w:rsidR="00724CF4">
        <w:rPr>
          <w:b/>
          <w:caps/>
        </w:rPr>
        <w:t xml:space="preserve"> INSURANCE</w:t>
      </w:r>
    </w:p>
    <w:p w:rsidR="00FD5EA1" w:rsidRDefault="00FD5EA1" w:rsidP="00DC42FE">
      <w:pPr>
        <w:tabs>
          <w:tab w:val="left" w:pos="1472"/>
        </w:tabs>
        <w:spacing w:line="276" w:lineRule="auto"/>
      </w:pPr>
      <w:r w:rsidRPr="00DC42FE">
        <w:tab/>
      </w:r>
    </w:p>
    <w:p w:rsidR="00E742F7" w:rsidRDefault="00E742F7" w:rsidP="00E742F7">
      <w:pPr>
        <w:jc w:val="both"/>
      </w:pPr>
      <w:r w:rsidRPr="00E742F7">
        <w:t>The purpose of insurance is to protect people against financial disaster when they are unable to earn a living because of sickness or injury, or to give their dependents some type of income after they die. Whether to purchase insurance is an important financial decision about protecting</w:t>
      </w:r>
      <w:r>
        <w:t xml:space="preserve"> one's earnings and lifestyle.</w:t>
      </w:r>
      <w:r>
        <w:rPr>
          <w:rStyle w:val="FootnoteReference"/>
        </w:rPr>
        <w:footnoteReference w:id="1"/>
      </w:r>
      <w:r>
        <w:t xml:space="preserve"> </w:t>
      </w:r>
    </w:p>
    <w:p w:rsidR="00E742F7" w:rsidRPr="00DC42FE" w:rsidRDefault="00E742F7" w:rsidP="00DC42FE">
      <w:pPr>
        <w:tabs>
          <w:tab w:val="left" w:pos="1472"/>
        </w:tabs>
        <w:spacing w:line="276" w:lineRule="auto"/>
      </w:pPr>
    </w:p>
    <w:p w:rsidR="00CB2E14" w:rsidRDefault="00FD5EA1" w:rsidP="00A14026">
      <w:pPr>
        <w:spacing w:line="276" w:lineRule="auto"/>
        <w:jc w:val="both"/>
      </w:pPr>
      <w:r w:rsidRPr="00DC42FE">
        <w:rPr>
          <w:b/>
        </w:rPr>
        <w:t>Health Insurance</w:t>
      </w:r>
      <w:r w:rsidRPr="00DC42FE">
        <w:t xml:space="preserve"> – is a coverage that pays for at least part of the medical and surgical expenses incurred by the person insured.</w:t>
      </w:r>
    </w:p>
    <w:p w:rsidR="00CB2E14" w:rsidRDefault="00CB2E14" w:rsidP="00A14026">
      <w:pPr>
        <w:spacing w:line="276" w:lineRule="auto"/>
        <w:jc w:val="both"/>
      </w:pPr>
      <w:r>
        <w:tab/>
      </w:r>
      <w:r w:rsidRPr="0006049B">
        <w:rPr>
          <w:i/>
        </w:rPr>
        <w:t>Basic Health Insurance</w:t>
      </w:r>
      <w:r>
        <w:t xml:space="preserve"> is a combination of three types of coverage: </w:t>
      </w:r>
      <w:r w:rsidR="0006049B">
        <w:t>hospital expense which pays part (or all) of hospital bills for room, board, and other charges; surgical expense which pays part (or all) of surgeon’s fees for operations specified by the policy; and physician expense which pays part (or all) of doctor’s visits, x-rays, and lab tests.</w:t>
      </w:r>
    </w:p>
    <w:p w:rsidR="0006049B" w:rsidRDefault="0006049B" w:rsidP="00A14026">
      <w:pPr>
        <w:spacing w:line="276" w:lineRule="auto"/>
        <w:jc w:val="both"/>
      </w:pPr>
      <w:r>
        <w:tab/>
      </w:r>
      <w:r w:rsidRPr="0006049B">
        <w:rPr>
          <w:i/>
        </w:rPr>
        <w:t>Major Medical Expense</w:t>
      </w:r>
      <w:r>
        <w:t xml:space="preserve"> covers serious injury and long illness. If the policy has a stop-loss provision </w:t>
      </w:r>
      <w:proofErr w:type="gramStart"/>
      <w:r>
        <w:t>(typically between $4,000 to $6,000)</w:t>
      </w:r>
      <w:proofErr w:type="gramEnd"/>
      <w:r>
        <w:t xml:space="preserve"> the policy holder is protected against bills that exceed the stop-loss amount; although </w:t>
      </w:r>
      <w:r w:rsidRPr="0006049B">
        <w:t xml:space="preserve">maximum benefits are usually </w:t>
      </w:r>
      <w:r>
        <w:t>limited</w:t>
      </w:r>
      <w:r w:rsidRPr="0006049B">
        <w:t xml:space="preserve"> to $1 million</w:t>
      </w:r>
      <w:r>
        <w:t xml:space="preserve"> (or less)</w:t>
      </w:r>
      <w:r w:rsidRPr="0006049B">
        <w:t>.</w:t>
      </w:r>
    </w:p>
    <w:p w:rsidR="0006049B" w:rsidRDefault="0006049B" w:rsidP="00A14026">
      <w:pPr>
        <w:spacing w:line="276" w:lineRule="auto"/>
        <w:jc w:val="both"/>
      </w:pPr>
      <w:r>
        <w:tab/>
      </w:r>
      <w:r w:rsidRPr="00E84BDD">
        <w:rPr>
          <w:i/>
        </w:rPr>
        <w:t>Comprehensive Major Medical</w:t>
      </w:r>
      <w:r>
        <w:t xml:space="preserve"> is a combination of basic and major medical </w:t>
      </w:r>
      <w:proofErr w:type="spellStart"/>
      <w:r w:rsidR="00E84BDD">
        <w:t>coverages</w:t>
      </w:r>
      <w:proofErr w:type="spellEnd"/>
      <w:r w:rsidR="00E84BDD">
        <w:t>.  These policies typically have specific maximum benefits for certain expenses, such as hospital room and board and the cost of surgery.</w:t>
      </w:r>
    </w:p>
    <w:p w:rsidR="00990BDD" w:rsidRDefault="00CB2E14" w:rsidP="00DC42FE">
      <w:pPr>
        <w:spacing w:line="276" w:lineRule="auto"/>
      </w:pPr>
      <w:r>
        <w:tab/>
      </w:r>
    </w:p>
    <w:p w:rsidR="00E742F7" w:rsidRPr="00DC42FE" w:rsidRDefault="00E742F7" w:rsidP="00E742F7">
      <w:pPr>
        <w:spacing w:line="276" w:lineRule="auto"/>
        <w:jc w:val="center"/>
        <w:rPr>
          <w:i/>
        </w:rPr>
      </w:pPr>
      <w:r w:rsidRPr="00DC42FE">
        <w:rPr>
          <w:i/>
        </w:rPr>
        <w:t xml:space="preserve">“You may have heard that everyone in Massachusetts must have health insurance in 2014 or pay a penalty – </w:t>
      </w:r>
      <w:proofErr w:type="spellStart"/>
      <w:r w:rsidRPr="00DC42FE">
        <w:rPr>
          <w:i/>
        </w:rPr>
        <w:t>Obamacare's</w:t>
      </w:r>
      <w:proofErr w:type="spellEnd"/>
      <w:r w:rsidRPr="00DC42FE">
        <w:rPr>
          <w:i/>
        </w:rPr>
        <w:t xml:space="preserve"> so-called “individual mandate.” With a few exceptions, this is true. For 2014, not carrying insurance will cost $95 per person (up to $285 per family) or 1 percent of your family’s income, whichever is more.”</w:t>
      </w:r>
      <w:r w:rsidRPr="00DC42FE">
        <w:rPr>
          <w:rStyle w:val="FootnoteReference"/>
          <w:i/>
        </w:rPr>
        <w:footnoteReference w:id="2"/>
      </w:r>
    </w:p>
    <w:p w:rsidR="00E742F7" w:rsidRPr="00DC42FE" w:rsidRDefault="00E742F7" w:rsidP="00DC42FE">
      <w:pPr>
        <w:spacing w:line="276" w:lineRule="auto"/>
      </w:pPr>
    </w:p>
    <w:p w:rsidR="00990BDD" w:rsidRPr="00DC42FE" w:rsidRDefault="00990BDD" w:rsidP="002E4E5C">
      <w:pPr>
        <w:spacing w:line="276" w:lineRule="auto"/>
        <w:jc w:val="both"/>
      </w:pPr>
      <w:r w:rsidRPr="00DC42FE">
        <w:rPr>
          <w:b/>
        </w:rPr>
        <w:t>Premiums</w:t>
      </w:r>
      <w:r w:rsidRPr="00DC42FE">
        <w:t xml:space="preserve"> </w:t>
      </w:r>
      <w:r w:rsidR="004E065E" w:rsidRPr="00DC42FE">
        <w:t>–</w:t>
      </w:r>
      <w:r w:rsidRPr="00DC42FE">
        <w:t xml:space="preserve"> </w:t>
      </w:r>
      <w:r w:rsidR="002E4E5C">
        <w:t>F</w:t>
      </w:r>
      <w:r w:rsidR="00DC42FE" w:rsidRPr="00DC42FE">
        <w:t>ees paid for coverage of medical benefits for a defined benefit</w:t>
      </w:r>
      <w:r w:rsidR="002E4E5C">
        <w:t xml:space="preserve"> </w:t>
      </w:r>
      <w:r w:rsidR="00DC42FE" w:rsidRPr="00DC42FE">
        <w:t>period. Premiums can be paid by employers, unions, employees, or shared by both the</w:t>
      </w:r>
      <w:r w:rsidR="002E4E5C">
        <w:t xml:space="preserve"> </w:t>
      </w:r>
      <w:r w:rsidR="00DC42FE" w:rsidRPr="00DC42FE">
        <w:t>insured in</w:t>
      </w:r>
      <w:r w:rsidR="002E4E5C">
        <w:t>dividual and the plan sponsor.</w:t>
      </w:r>
      <w:r w:rsidR="002E4E5C">
        <w:rPr>
          <w:rStyle w:val="FootnoteReference"/>
        </w:rPr>
        <w:footnoteReference w:id="3"/>
      </w:r>
    </w:p>
    <w:p w:rsidR="004E065E" w:rsidRPr="00DC42FE" w:rsidRDefault="00453A39" w:rsidP="002E4E5C">
      <w:pPr>
        <w:spacing w:line="276" w:lineRule="auto"/>
        <w:jc w:val="both"/>
      </w:pPr>
      <w:r w:rsidRPr="00DC42FE">
        <w:rPr>
          <w:b/>
        </w:rPr>
        <w:t>Co-pay</w:t>
      </w:r>
      <w:r w:rsidR="002E4E5C">
        <w:rPr>
          <w:b/>
        </w:rPr>
        <w:t>ment</w:t>
      </w:r>
      <w:r w:rsidR="002E4E5C">
        <w:t xml:space="preserve"> (Deductible) – </w:t>
      </w:r>
      <w:r w:rsidR="002E4E5C">
        <w:rPr>
          <w:color w:val="111111"/>
          <w:shd w:val="clear" w:color="auto" w:fill="FFFFFF"/>
        </w:rPr>
        <w:t>The amount of expenses that the insured person must pay before the insurance company will pay any insurance benefits.</w:t>
      </w:r>
    </w:p>
    <w:p w:rsidR="004E065E" w:rsidRPr="00DC42FE" w:rsidRDefault="00453A39" w:rsidP="002E4E5C">
      <w:pPr>
        <w:spacing w:line="276" w:lineRule="auto"/>
        <w:jc w:val="both"/>
      </w:pPr>
      <w:proofErr w:type="gramStart"/>
      <w:r w:rsidRPr="00DC42FE">
        <w:rPr>
          <w:b/>
        </w:rPr>
        <w:t>Coinsurance</w:t>
      </w:r>
      <w:r w:rsidR="002E4E5C">
        <w:t xml:space="preserve"> (Percentage Participation Provision) – An insurance provision that defines the percentage of each claim that the insurance company will pay.</w:t>
      </w:r>
      <w:proofErr w:type="gramEnd"/>
      <w:r w:rsidR="002E4E5C">
        <w:rPr>
          <w:rStyle w:val="FootnoteReference"/>
        </w:rPr>
        <w:footnoteReference w:id="4"/>
      </w:r>
      <w:r w:rsidR="002E4E5C">
        <w:t xml:space="preserve"> </w:t>
      </w:r>
    </w:p>
    <w:p w:rsidR="002E4E5C" w:rsidRPr="002E4E5C" w:rsidRDefault="002E4E5C" w:rsidP="00CB2E14">
      <w:pPr>
        <w:spacing w:line="276" w:lineRule="auto"/>
        <w:ind w:left="720"/>
        <w:rPr>
          <w:i/>
        </w:rPr>
      </w:pPr>
      <w:r w:rsidRPr="002E4E5C">
        <w:rPr>
          <w:i/>
        </w:rPr>
        <w:t>Example</w:t>
      </w:r>
    </w:p>
    <w:p w:rsidR="002E4E5C" w:rsidRDefault="00CB2E14" w:rsidP="00CB2E14">
      <w:pPr>
        <w:spacing w:line="276" w:lineRule="auto"/>
        <w:ind w:left="720"/>
        <w:jc w:val="both"/>
      </w:pPr>
      <w:r>
        <w:t xml:space="preserve">Start with a total of $4,000.  If your policy includes an $800 deductible and a coinsurance provision requiring you to pay 20% of all bills.  Your total costs will be $800 + </w:t>
      </w:r>
      <w:proofErr w:type="gramStart"/>
      <w:r>
        <w:t>20%</w:t>
      </w:r>
      <w:proofErr w:type="gramEnd"/>
      <w:r>
        <w:t xml:space="preserve">($3,200) = </w:t>
      </w:r>
      <w:r w:rsidRPr="00CB2E14">
        <w:rPr>
          <w:u w:val="single"/>
        </w:rPr>
        <w:t>$1,440</w:t>
      </w:r>
      <w:r>
        <w:t>.</w:t>
      </w:r>
    </w:p>
    <w:p w:rsidR="00453A39" w:rsidRPr="00DD1689" w:rsidRDefault="00453A39" w:rsidP="00DD1689">
      <w:pPr>
        <w:spacing w:line="276" w:lineRule="auto"/>
        <w:jc w:val="both"/>
        <w:rPr>
          <w:color w:val="333333"/>
          <w:shd w:val="clear" w:color="auto" w:fill="FFFFFF"/>
        </w:rPr>
      </w:pPr>
      <w:r w:rsidRPr="00DC42FE">
        <w:rPr>
          <w:b/>
        </w:rPr>
        <w:lastRenderedPageBreak/>
        <w:t>Balanced Billing</w:t>
      </w:r>
      <w:r w:rsidR="00E15567" w:rsidRPr="00DC42FE">
        <w:t xml:space="preserve"> –</w:t>
      </w:r>
      <w:r w:rsidR="00DC42FE" w:rsidRPr="00DC42FE">
        <w:t xml:space="preserve"> </w:t>
      </w:r>
      <w:r w:rsidR="00DC42FE" w:rsidRPr="00DC42FE">
        <w:rPr>
          <w:color w:val="333333"/>
          <w:shd w:val="clear" w:color="auto" w:fill="FFFFFF"/>
        </w:rPr>
        <w:t>Balance billing occurs when a health care provider bills you for charges – other than copayments, coinsurance or any amounts that may remain on your annual deductible – which exceed the Health Plan’s reimbursement for a covered service. Network providers are contractually prohibited from balance billing Health Plan participants, but balance billing by non-network providers is common.</w:t>
      </w:r>
      <w:r w:rsidR="00DD1689">
        <w:rPr>
          <w:rStyle w:val="FootnoteReference"/>
          <w:color w:val="333333"/>
          <w:shd w:val="clear" w:color="auto" w:fill="FFFFFF"/>
        </w:rPr>
        <w:footnoteReference w:id="5"/>
      </w:r>
    </w:p>
    <w:p w:rsidR="00E15567" w:rsidRPr="00DC42FE" w:rsidRDefault="00E15567" w:rsidP="00DC42FE">
      <w:pPr>
        <w:spacing w:line="276" w:lineRule="auto"/>
      </w:pPr>
    </w:p>
    <w:p w:rsidR="00E15567" w:rsidRPr="00DC42FE" w:rsidRDefault="00E15567" w:rsidP="00DD1689">
      <w:pPr>
        <w:spacing w:line="276" w:lineRule="auto"/>
        <w:jc w:val="both"/>
      </w:pPr>
      <w:r w:rsidRPr="00DC42FE">
        <w:rPr>
          <w:b/>
        </w:rPr>
        <w:t>Formulary</w:t>
      </w:r>
      <w:r w:rsidRPr="00DC42FE">
        <w:t xml:space="preserve"> – is the list of drugs a health plan covers. If you don't have any prescription drug coverage, contact the Partnership for Prescription Assistance at (888) 4PPA-NOW to see if you qualify for an assistance program. The PPA serves as a national clearinghouse for programs that help patients who lack prescription drug coverage.</w:t>
      </w:r>
    </w:p>
    <w:p w:rsidR="00453A39" w:rsidRPr="006B45F6" w:rsidRDefault="00453A39" w:rsidP="00DC42FE">
      <w:pPr>
        <w:spacing w:line="276" w:lineRule="auto"/>
        <w:rPr>
          <w:sz w:val="12"/>
          <w:szCs w:val="12"/>
        </w:rPr>
      </w:pPr>
    </w:p>
    <w:p w:rsidR="00E15567" w:rsidRPr="00DC42FE" w:rsidRDefault="00E15567" w:rsidP="00DC42FE">
      <w:pPr>
        <w:spacing w:line="276" w:lineRule="auto"/>
        <w:jc w:val="center"/>
        <w:rPr>
          <w:i/>
        </w:rPr>
      </w:pPr>
      <w:r w:rsidRPr="00DC42FE">
        <w:rPr>
          <w:i/>
        </w:rPr>
        <w:t>“As health plan premiums and out-of-pocket payments continue to rise, consumers will have to do more research and negotiating to get the medical care they need. Discussing costs upfront can help ensure that both you and your wallet remain healthy.”</w:t>
      </w:r>
      <w:r w:rsidRPr="00DC42FE">
        <w:rPr>
          <w:rStyle w:val="FootnoteReference"/>
          <w:i/>
        </w:rPr>
        <w:footnoteReference w:id="6"/>
      </w:r>
    </w:p>
    <w:p w:rsidR="00E15567" w:rsidRDefault="00E15567" w:rsidP="00DC42FE">
      <w:pPr>
        <w:spacing w:line="276" w:lineRule="auto"/>
      </w:pPr>
    </w:p>
    <w:p w:rsidR="00B0252E" w:rsidRPr="00B0252E" w:rsidRDefault="00B0252E" w:rsidP="00DC42FE">
      <w:pPr>
        <w:spacing w:line="276" w:lineRule="auto"/>
        <w:rPr>
          <w:b/>
        </w:rPr>
      </w:pPr>
      <w:r w:rsidRPr="00B0252E">
        <w:rPr>
          <w:b/>
        </w:rPr>
        <w:t xml:space="preserve">Insurance Costs </w:t>
      </w:r>
      <w:r w:rsidR="006B45F6">
        <w:rPr>
          <w:b/>
        </w:rPr>
        <w:t>&amp;</w:t>
      </w:r>
      <w:r w:rsidRPr="00B0252E">
        <w:rPr>
          <w:b/>
        </w:rPr>
        <w:t xml:space="preserve"> Trade-offs</w:t>
      </w:r>
    </w:p>
    <w:tbl>
      <w:tblPr>
        <w:tblStyle w:val="TableGrid"/>
        <w:tblW w:w="0" w:type="auto"/>
        <w:tblLook w:val="04A0" w:firstRow="1" w:lastRow="0" w:firstColumn="1" w:lastColumn="0" w:noHBand="0" w:noVBand="1"/>
      </w:tblPr>
      <w:tblGrid>
        <w:gridCol w:w="4788"/>
        <w:gridCol w:w="4788"/>
      </w:tblGrid>
      <w:tr w:rsidR="006B45F6" w:rsidTr="006B45F6">
        <w:tc>
          <w:tcPr>
            <w:tcW w:w="4788" w:type="dxa"/>
            <w:shd w:val="clear" w:color="auto" w:fill="D9D9D9" w:themeFill="background1" w:themeFillShade="D9"/>
          </w:tcPr>
          <w:p w:rsidR="006B45F6" w:rsidRPr="00B0252E" w:rsidRDefault="006B45F6" w:rsidP="00DC42FE">
            <w:pPr>
              <w:spacing w:line="276" w:lineRule="auto"/>
              <w:rPr>
                <w:b/>
              </w:rPr>
            </w:pPr>
            <w:r>
              <w:rPr>
                <w:b/>
              </w:rPr>
              <w:t>Lower Premiums</w:t>
            </w:r>
          </w:p>
        </w:tc>
        <w:tc>
          <w:tcPr>
            <w:tcW w:w="4788" w:type="dxa"/>
            <w:shd w:val="clear" w:color="auto" w:fill="D9D9D9" w:themeFill="background1" w:themeFillShade="D9"/>
          </w:tcPr>
          <w:p w:rsidR="006B45F6" w:rsidRPr="00B0252E" w:rsidRDefault="006B45F6" w:rsidP="00B0252E">
            <w:pPr>
              <w:spacing w:line="276" w:lineRule="auto"/>
              <w:rPr>
                <w:b/>
              </w:rPr>
            </w:pPr>
            <w:r>
              <w:rPr>
                <w:b/>
              </w:rPr>
              <w:t>Higher Premiums</w:t>
            </w:r>
          </w:p>
        </w:tc>
      </w:tr>
      <w:tr w:rsidR="00B0252E" w:rsidTr="00B0252E">
        <w:tc>
          <w:tcPr>
            <w:tcW w:w="4788" w:type="dxa"/>
          </w:tcPr>
          <w:p w:rsidR="00B0252E" w:rsidRDefault="00B0252E" w:rsidP="00DC42FE">
            <w:pPr>
              <w:spacing w:line="276" w:lineRule="auto"/>
            </w:pPr>
            <w:r w:rsidRPr="00B0252E">
              <w:rPr>
                <w:b/>
              </w:rPr>
              <w:t>Reimbursement policy</w:t>
            </w:r>
            <w:r>
              <w:t xml:space="preserve"> – provides benefits based on the actual expenses you incur.</w:t>
            </w:r>
          </w:p>
        </w:tc>
        <w:tc>
          <w:tcPr>
            <w:tcW w:w="4788" w:type="dxa"/>
          </w:tcPr>
          <w:p w:rsidR="00B0252E" w:rsidRDefault="00B0252E" w:rsidP="00B0252E">
            <w:pPr>
              <w:spacing w:line="276" w:lineRule="auto"/>
            </w:pPr>
            <w:r w:rsidRPr="00B0252E">
              <w:rPr>
                <w:b/>
              </w:rPr>
              <w:t>Indemnity policy</w:t>
            </w:r>
            <w:r>
              <w:t xml:space="preserve"> – provides specified benefits, regardless of whether the actual expenses are greater or less than then benefits.</w:t>
            </w:r>
          </w:p>
        </w:tc>
      </w:tr>
      <w:tr w:rsidR="00B0252E" w:rsidTr="00B0252E">
        <w:tc>
          <w:tcPr>
            <w:tcW w:w="4788" w:type="dxa"/>
          </w:tcPr>
          <w:p w:rsidR="00B0252E" w:rsidRDefault="006B45F6" w:rsidP="00DC42FE">
            <w:pPr>
              <w:spacing w:line="276" w:lineRule="auto"/>
            </w:pPr>
            <w:r w:rsidRPr="006B45F6">
              <w:rPr>
                <w:b/>
              </w:rPr>
              <w:t>Internal limits</w:t>
            </w:r>
            <w:r>
              <w:t xml:space="preserve"> – stipulates maximum benefits for specified expenses, such as the maximum benefit for daily hospital room and board.</w:t>
            </w:r>
          </w:p>
        </w:tc>
        <w:tc>
          <w:tcPr>
            <w:tcW w:w="4788" w:type="dxa"/>
          </w:tcPr>
          <w:p w:rsidR="00B0252E" w:rsidRDefault="006B45F6" w:rsidP="00DC42FE">
            <w:pPr>
              <w:spacing w:line="276" w:lineRule="auto"/>
            </w:pPr>
            <w:r w:rsidRPr="006B45F6">
              <w:rPr>
                <w:b/>
              </w:rPr>
              <w:t>Aggregate limits</w:t>
            </w:r>
            <w:r>
              <w:t xml:space="preserve"> – limits only the total amount of coverage, such as $1 million major expense benefit (some policies have no limits).</w:t>
            </w:r>
          </w:p>
        </w:tc>
      </w:tr>
      <w:tr w:rsidR="00B0252E" w:rsidTr="00B0252E">
        <w:tc>
          <w:tcPr>
            <w:tcW w:w="4788" w:type="dxa"/>
          </w:tcPr>
          <w:p w:rsidR="00B0252E" w:rsidRDefault="006B45F6" w:rsidP="006B45F6">
            <w:pPr>
              <w:spacing w:line="276" w:lineRule="auto"/>
            </w:pPr>
            <w:r>
              <w:rPr>
                <w:b/>
              </w:rPr>
              <w:t xml:space="preserve">High </w:t>
            </w:r>
            <w:r w:rsidRPr="006B45F6">
              <w:rPr>
                <w:b/>
              </w:rPr>
              <w:t>Deductibles</w:t>
            </w:r>
            <w:r>
              <w:t xml:space="preserve"> – the amount you must pay toward medical expenses before your insurance company pays.</w:t>
            </w:r>
          </w:p>
        </w:tc>
        <w:tc>
          <w:tcPr>
            <w:tcW w:w="4788" w:type="dxa"/>
          </w:tcPr>
          <w:p w:rsidR="00B0252E" w:rsidRDefault="006B45F6" w:rsidP="00DC42FE">
            <w:pPr>
              <w:spacing w:line="276" w:lineRule="auto"/>
            </w:pPr>
            <w:r>
              <w:rPr>
                <w:b/>
              </w:rPr>
              <w:t xml:space="preserve">Low </w:t>
            </w:r>
            <w:r w:rsidRPr="006B45F6">
              <w:rPr>
                <w:b/>
              </w:rPr>
              <w:t>Deductibles</w:t>
            </w:r>
            <w:r>
              <w:t xml:space="preserve"> – the amount you must pay toward medical expenses before your insurance company pays.</w:t>
            </w:r>
          </w:p>
        </w:tc>
      </w:tr>
      <w:tr w:rsidR="00B0252E" w:rsidTr="00B0252E">
        <w:tc>
          <w:tcPr>
            <w:tcW w:w="4788" w:type="dxa"/>
          </w:tcPr>
          <w:p w:rsidR="00B0252E" w:rsidRDefault="006B45F6" w:rsidP="006B45F6">
            <w:pPr>
              <w:spacing w:line="276" w:lineRule="auto"/>
            </w:pPr>
            <w:r w:rsidRPr="006B45F6">
              <w:rPr>
                <w:b/>
              </w:rPr>
              <w:t>Coinsurance</w:t>
            </w:r>
            <w:r>
              <w:t xml:space="preserve"> – the amount of shared medical expenses (for example you may be responsible for 20 percent of all bills).</w:t>
            </w:r>
          </w:p>
        </w:tc>
        <w:tc>
          <w:tcPr>
            <w:tcW w:w="4788" w:type="dxa"/>
          </w:tcPr>
          <w:p w:rsidR="00B0252E" w:rsidRDefault="006B45F6" w:rsidP="00DC42FE">
            <w:pPr>
              <w:spacing w:line="276" w:lineRule="auto"/>
            </w:pPr>
            <w:r w:rsidRPr="006B45F6">
              <w:rPr>
                <w:b/>
              </w:rPr>
              <w:t>Out-of-pocket limit</w:t>
            </w:r>
            <w:r>
              <w:t xml:space="preserve"> – limits the total coinsurance deductibles you must pay.</w:t>
            </w:r>
          </w:p>
        </w:tc>
      </w:tr>
    </w:tbl>
    <w:p w:rsidR="00B0252E" w:rsidRDefault="00B0252E" w:rsidP="00DC42FE">
      <w:pPr>
        <w:spacing w:line="276" w:lineRule="auto"/>
      </w:pPr>
    </w:p>
    <w:p w:rsidR="00453A39" w:rsidRPr="00E84BDD" w:rsidRDefault="00453A39" w:rsidP="00DC42FE">
      <w:pPr>
        <w:spacing w:line="276" w:lineRule="auto"/>
        <w:rPr>
          <w:i/>
        </w:rPr>
      </w:pPr>
      <w:r w:rsidRPr="00E84BDD">
        <w:rPr>
          <w:i/>
        </w:rPr>
        <w:t xml:space="preserve">Tips for </w:t>
      </w:r>
      <w:r w:rsidR="00E84BDD" w:rsidRPr="00E84BDD">
        <w:rPr>
          <w:i/>
        </w:rPr>
        <w:t>L</w:t>
      </w:r>
      <w:r w:rsidRPr="00E84BDD">
        <w:rPr>
          <w:i/>
        </w:rPr>
        <w:t xml:space="preserve">owering </w:t>
      </w:r>
      <w:r w:rsidR="00E84BDD" w:rsidRPr="00E84BDD">
        <w:rPr>
          <w:i/>
        </w:rPr>
        <w:t>H</w:t>
      </w:r>
      <w:r w:rsidRPr="00E84BDD">
        <w:rPr>
          <w:i/>
        </w:rPr>
        <w:t xml:space="preserve">ealth </w:t>
      </w:r>
      <w:r w:rsidR="00E84BDD" w:rsidRPr="00E84BDD">
        <w:rPr>
          <w:i/>
        </w:rPr>
        <w:t>I</w:t>
      </w:r>
      <w:r w:rsidRPr="00E84BDD">
        <w:rPr>
          <w:i/>
        </w:rPr>
        <w:t xml:space="preserve">nsurance </w:t>
      </w:r>
      <w:r w:rsidR="00E84BDD" w:rsidRPr="00E84BDD">
        <w:rPr>
          <w:i/>
        </w:rPr>
        <w:t>C</w:t>
      </w:r>
      <w:r w:rsidRPr="00E84BDD">
        <w:rPr>
          <w:i/>
        </w:rPr>
        <w:t>osts</w:t>
      </w:r>
    </w:p>
    <w:p w:rsidR="00453A39" w:rsidRPr="00DC42FE" w:rsidRDefault="00453A39" w:rsidP="00E84BDD">
      <w:pPr>
        <w:pStyle w:val="ListParagraph"/>
        <w:numPr>
          <w:ilvl w:val="0"/>
          <w:numId w:val="2"/>
        </w:numPr>
        <w:spacing w:line="276" w:lineRule="auto"/>
        <w:jc w:val="both"/>
      </w:pPr>
      <w:r w:rsidRPr="00E84BDD">
        <w:rPr>
          <w:i/>
        </w:rPr>
        <w:t>Ask for the “CPT Code”</w:t>
      </w:r>
      <w:r w:rsidRPr="00DC42FE">
        <w:t xml:space="preserve"> – the “current procedural terminology” (CPT) code is the five-digit number that is used to bill the procedure.  With this number you can call multiple medical centers to compare prices for the same procedure.</w:t>
      </w:r>
      <w:r w:rsidRPr="00DC42FE">
        <w:rPr>
          <w:rStyle w:val="FootnoteReference"/>
        </w:rPr>
        <w:footnoteReference w:id="7"/>
      </w:r>
    </w:p>
    <w:p w:rsidR="00E15567" w:rsidRPr="00DC42FE" w:rsidRDefault="00453A39" w:rsidP="00E84BDD">
      <w:pPr>
        <w:pStyle w:val="ListParagraph"/>
        <w:numPr>
          <w:ilvl w:val="0"/>
          <w:numId w:val="2"/>
        </w:numPr>
        <w:spacing w:line="276" w:lineRule="auto"/>
        <w:jc w:val="both"/>
      </w:pPr>
      <w:r w:rsidRPr="00E84BDD">
        <w:rPr>
          <w:i/>
        </w:rPr>
        <w:t>Negotiate lower prices</w:t>
      </w:r>
      <w:r w:rsidRPr="00DC42FE">
        <w:t xml:space="preserve"> – if an alternative hospital is cheaper, go to the original hospital to see if they will match the lower price or see if you can negotiate a prompt payment discount with one of the </w:t>
      </w:r>
      <w:r w:rsidR="00E15567" w:rsidRPr="00DC42FE">
        <w:t>hospitals</w:t>
      </w:r>
      <w:r w:rsidRPr="00DC42FE">
        <w:t>.</w:t>
      </w:r>
      <w:r w:rsidR="00E15567" w:rsidRPr="00DC42FE">
        <w:t xml:space="preserve">  If you’ve already had a procedure, but feel there is no way you can pay the bill, ask if the hospital is willing to work out a payment plan.  Also, </w:t>
      </w:r>
      <w:r w:rsidR="00E15567" w:rsidRPr="00DC42FE">
        <w:lastRenderedPageBreak/>
        <w:t>ask how deductibles and co-pays are calculated with respect to listed fees. This may not lower your expenses, but it might prevent those expenses from being higher than you anticipated.</w:t>
      </w:r>
      <w:r w:rsidR="00E15567" w:rsidRPr="00DC42FE">
        <w:rPr>
          <w:rStyle w:val="FootnoteReference"/>
        </w:rPr>
        <w:footnoteReference w:id="8"/>
      </w:r>
    </w:p>
    <w:p w:rsidR="00E15567" w:rsidRPr="00DC42FE" w:rsidRDefault="00E15567" w:rsidP="00A14026">
      <w:pPr>
        <w:pStyle w:val="ListParagraph"/>
        <w:numPr>
          <w:ilvl w:val="0"/>
          <w:numId w:val="2"/>
        </w:numPr>
        <w:spacing w:line="276" w:lineRule="auto"/>
        <w:jc w:val="both"/>
      </w:pPr>
      <w:r w:rsidRPr="00E84BDD">
        <w:rPr>
          <w:i/>
        </w:rPr>
        <w:t>Make sure everyone is “in-network”</w:t>
      </w:r>
      <w:r w:rsidRPr="00DC42FE">
        <w:t xml:space="preserve"> - for example, if you're having surgery, check on the facility, the doctor and the anesthesiologist.</w:t>
      </w:r>
    </w:p>
    <w:p w:rsidR="008332E1" w:rsidRPr="00DC42FE" w:rsidRDefault="008332E1" w:rsidP="00A14026">
      <w:pPr>
        <w:pStyle w:val="ListParagraph"/>
        <w:numPr>
          <w:ilvl w:val="0"/>
          <w:numId w:val="2"/>
        </w:numPr>
        <w:spacing w:line="276" w:lineRule="auto"/>
        <w:jc w:val="both"/>
      </w:pPr>
      <w:r w:rsidRPr="00E84BDD">
        <w:rPr>
          <w:i/>
        </w:rPr>
        <w:t>Ask about alternate facilities</w:t>
      </w:r>
      <w:r w:rsidRPr="00DC42FE">
        <w:t xml:space="preserve"> - Doctors often work at outpatient surgery centers as well as hospitals, and what they charge can vary widely by location.  The average in-network cost of an MRI at a hospital is $1,145, but the average in-network cost at an independent radiology facility is just $560. The average in-network cost of an emergency-room visit is about $933, a visit to an urgent-care center costs only $71, on average, and a trip to a convenience-care clinic (such as Minute Clinic at CVS) averages just $33.</w:t>
      </w:r>
      <w:r w:rsidRPr="00DC42FE">
        <w:rPr>
          <w:rStyle w:val="FootnoteReference"/>
        </w:rPr>
        <w:footnoteReference w:id="9"/>
      </w:r>
    </w:p>
    <w:p w:rsidR="008332E1" w:rsidRPr="00DC42FE" w:rsidRDefault="008332E1" w:rsidP="00DC42FE">
      <w:pPr>
        <w:spacing w:line="276" w:lineRule="auto"/>
      </w:pPr>
    </w:p>
    <w:p w:rsidR="00FD5EA1" w:rsidRPr="00DC42FE" w:rsidRDefault="00E84BDD" w:rsidP="00DC42FE">
      <w:pPr>
        <w:spacing w:line="276" w:lineRule="auto"/>
        <w:rPr>
          <w:i/>
        </w:rPr>
      </w:pPr>
      <w:r>
        <w:rPr>
          <w:i/>
        </w:rPr>
        <w:t xml:space="preserve">How to </w:t>
      </w:r>
      <w:r w:rsidR="008332E1" w:rsidRPr="00DC42FE">
        <w:rPr>
          <w:i/>
        </w:rPr>
        <w:t>Appeal Health Insurance Claim Decisions</w:t>
      </w:r>
      <w:r w:rsidR="008332E1" w:rsidRPr="00DC42FE">
        <w:rPr>
          <w:rStyle w:val="FootnoteReference"/>
          <w:i/>
        </w:rPr>
        <w:footnoteReference w:id="10"/>
      </w:r>
    </w:p>
    <w:p w:rsidR="008332E1" w:rsidRPr="00DC42FE" w:rsidRDefault="008332E1" w:rsidP="00A14026">
      <w:pPr>
        <w:spacing w:line="276" w:lineRule="auto"/>
        <w:jc w:val="both"/>
      </w:pPr>
      <w:r w:rsidRPr="00DC42FE">
        <w:t>If your health insurance has denied coverage for medical care you received, you have the right to appeal the claim and ask that the company reverse the decision.</w:t>
      </w:r>
    </w:p>
    <w:p w:rsidR="008332E1" w:rsidRPr="00DC42FE" w:rsidRDefault="008332E1" w:rsidP="00A14026">
      <w:pPr>
        <w:pStyle w:val="ListParagraph"/>
        <w:numPr>
          <w:ilvl w:val="0"/>
          <w:numId w:val="1"/>
        </w:numPr>
        <w:spacing w:line="276" w:lineRule="auto"/>
        <w:jc w:val="both"/>
      </w:pPr>
      <w:r w:rsidRPr="00DC42FE">
        <w:t>Review your policy and explanation of benefits</w:t>
      </w:r>
    </w:p>
    <w:p w:rsidR="008332E1" w:rsidRPr="00DC42FE" w:rsidRDefault="008332E1" w:rsidP="00A14026">
      <w:pPr>
        <w:pStyle w:val="ListParagraph"/>
        <w:numPr>
          <w:ilvl w:val="0"/>
          <w:numId w:val="1"/>
        </w:numPr>
        <w:spacing w:line="276" w:lineRule="auto"/>
        <w:jc w:val="both"/>
      </w:pPr>
      <w:r w:rsidRPr="00DC42FE">
        <w:t>Contact your insurer and keep details records of your contacts (copies of letters, time and date of conversations)</w:t>
      </w:r>
    </w:p>
    <w:p w:rsidR="008332E1" w:rsidRPr="00DC42FE" w:rsidRDefault="008332E1" w:rsidP="00A14026">
      <w:pPr>
        <w:pStyle w:val="ListParagraph"/>
        <w:numPr>
          <w:ilvl w:val="0"/>
          <w:numId w:val="1"/>
        </w:numPr>
        <w:spacing w:line="276" w:lineRule="auto"/>
        <w:jc w:val="both"/>
      </w:pPr>
      <w:r w:rsidRPr="00DC42FE">
        <w:t>Request documentation from your doctor or employer to support your case.</w:t>
      </w:r>
    </w:p>
    <w:p w:rsidR="008332E1" w:rsidRPr="00DC42FE" w:rsidRDefault="008332E1" w:rsidP="00A14026">
      <w:pPr>
        <w:pStyle w:val="ListParagraph"/>
        <w:numPr>
          <w:ilvl w:val="0"/>
          <w:numId w:val="1"/>
        </w:numPr>
        <w:spacing w:line="276" w:lineRule="auto"/>
        <w:jc w:val="both"/>
      </w:pPr>
      <w:r w:rsidRPr="00DC42FE">
        <w:t xml:space="preserve">Write a formal complaint letter explaining what </w:t>
      </w:r>
      <w:bookmarkStart w:id="0" w:name="_GoBack"/>
      <w:bookmarkEnd w:id="0"/>
      <w:r w:rsidRPr="00DC42FE">
        <w:t>was denied and why you are appealing through the use of the company’s internal review process.</w:t>
      </w:r>
    </w:p>
    <w:p w:rsidR="008332E1" w:rsidRPr="00DC42FE" w:rsidRDefault="008332E1" w:rsidP="00A14026">
      <w:pPr>
        <w:pStyle w:val="ListParagraph"/>
        <w:numPr>
          <w:ilvl w:val="0"/>
          <w:numId w:val="1"/>
        </w:numPr>
        <w:spacing w:line="276" w:lineRule="auto"/>
        <w:jc w:val="both"/>
      </w:pPr>
      <w:r w:rsidRPr="00DC42FE">
        <w:t>If the internal appeal is not granted, file a claim with your state’s insurance department.</w:t>
      </w:r>
      <w:r w:rsidRPr="00DC42FE">
        <w:rPr>
          <w:rStyle w:val="FootnoteReference"/>
        </w:rPr>
        <w:footnoteReference w:id="11"/>
      </w:r>
    </w:p>
    <w:p w:rsidR="00FD5EA1" w:rsidRPr="00DC42FE" w:rsidRDefault="00FD5EA1" w:rsidP="00DC42FE">
      <w:pPr>
        <w:spacing w:line="276" w:lineRule="auto"/>
      </w:pPr>
    </w:p>
    <w:p w:rsidR="00E84BDD" w:rsidRPr="006313FC" w:rsidRDefault="006313FC" w:rsidP="006313FC">
      <w:pPr>
        <w:spacing w:line="276" w:lineRule="auto"/>
        <w:jc w:val="center"/>
        <w:rPr>
          <w:i/>
        </w:rPr>
      </w:pPr>
      <w:r w:rsidRPr="006313FC">
        <w:rPr>
          <w:i/>
        </w:rPr>
        <w:t xml:space="preserve">“… </w:t>
      </w:r>
      <w:proofErr w:type="gramStart"/>
      <w:r w:rsidRPr="006313FC">
        <w:rPr>
          <w:i/>
        </w:rPr>
        <w:t>for</w:t>
      </w:r>
      <w:proofErr w:type="gramEnd"/>
      <w:r w:rsidRPr="006313FC">
        <w:rPr>
          <w:i/>
        </w:rPr>
        <w:t xml:space="preserve"> all age groups, disability is more likely than death</w:t>
      </w:r>
      <w:r w:rsidR="00E742F7">
        <w:rPr>
          <w:i/>
        </w:rPr>
        <w:t>… Disabled persons lose their earning power while continuing to incur normal family expenses. In addition, they often face huge expenses for the medical treatment and special care their disabilities require</w:t>
      </w:r>
      <w:r w:rsidRPr="006313FC">
        <w:rPr>
          <w:i/>
        </w:rPr>
        <w:t>.”</w:t>
      </w:r>
      <w:r>
        <w:rPr>
          <w:rStyle w:val="FootnoteReference"/>
          <w:i/>
        </w:rPr>
        <w:footnoteReference w:id="12"/>
      </w:r>
    </w:p>
    <w:p w:rsidR="006313FC" w:rsidRDefault="006313FC" w:rsidP="00DC42FE">
      <w:pPr>
        <w:spacing w:line="276" w:lineRule="auto"/>
      </w:pPr>
    </w:p>
    <w:p w:rsidR="0098581C" w:rsidRDefault="0009401D" w:rsidP="00B83CA6">
      <w:pPr>
        <w:spacing w:line="276" w:lineRule="auto"/>
        <w:jc w:val="both"/>
      </w:pPr>
      <w:proofErr w:type="gramStart"/>
      <w:r w:rsidRPr="006313FC">
        <w:rPr>
          <w:b/>
        </w:rPr>
        <w:t>Disability Insurance</w:t>
      </w:r>
      <w:r w:rsidR="006313FC">
        <w:rPr>
          <w:b/>
        </w:rPr>
        <w:t xml:space="preserve"> </w:t>
      </w:r>
      <w:r w:rsidR="006313FC">
        <w:t>–</w:t>
      </w:r>
      <w:r w:rsidR="006313FC" w:rsidRPr="006313FC">
        <w:t xml:space="preserve"> pays</w:t>
      </w:r>
      <w:r w:rsidR="006313FC">
        <w:t xml:space="preserve"> regular cash income </w:t>
      </w:r>
      <w:r w:rsidR="00E742F7">
        <w:t>lost by employees as a result of accident or illness.</w:t>
      </w:r>
      <w:proofErr w:type="gramEnd"/>
      <w:r w:rsidR="00E742F7">
        <w:t xml:space="preserve">  “Disability” has several </w:t>
      </w:r>
      <w:proofErr w:type="gramStart"/>
      <w:r w:rsidR="00E742F7">
        <w:t>definitions,</w:t>
      </w:r>
      <w:proofErr w:type="gramEnd"/>
      <w:r w:rsidR="00E742F7">
        <w:t xml:space="preserve"> some policies define it simply as the inability to do your regular work, while others have stricter definitions.</w:t>
      </w:r>
    </w:p>
    <w:p w:rsidR="00E742F7" w:rsidRDefault="00E742F7" w:rsidP="00A14026">
      <w:pPr>
        <w:spacing w:line="276" w:lineRule="auto"/>
        <w:ind w:left="720"/>
        <w:jc w:val="both"/>
      </w:pPr>
      <w:r w:rsidRPr="00B83CA6">
        <w:rPr>
          <w:b/>
        </w:rPr>
        <w:t>Elimination Period</w:t>
      </w:r>
      <w:r>
        <w:t xml:space="preserve"> – benefits don’t begin on the first day of disability, waiting periods range from 30 – 180 days.  If you have </w:t>
      </w:r>
      <w:r w:rsidR="00B83CA6">
        <w:t>savings to cover the waiting period, then you are probably better off with a longer waiting period (and therefore lower premium).</w:t>
      </w:r>
    </w:p>
    <w:p w:rsidR="00B83CA6" w:rsidRDefault="00B83CA6" w:rsidP="00A14026">
      <w:pPr>
        <w:spacing w:line="276" w:lineRule="auto"/>
        <w:ind w:left="720"/>
        <w:jc w:val="both"/>
      </w:pPr>
      <w:r w:rsidRPr="00B83CA6">
        <w:rPr>
          <w:b/>
        </w:rPr>
        <w:t>Duration of Benefits</w:t>
      </w:r>
      <w:r>
        <w:t xml:space="preserve"> – the policy may pay benefits for a few </w:t>
      </w:r>
      <w:proofErr w:type="gramStart"/>
      <w:r>
        <w:t>year</w:t>
      </w:r>
      <w:proofErr w:type="gramEnd"/>
      <w:r>
        <w:t>, to age 65, or for life.  Seek a policy that pays benefits for life, if you become disabled it could be financially disastrous if your benefits ended at age 65.</w:t>
      </w:r>
    </w:p>
    <w:p w:rsidR="00B83CA6" w:rsidRDefault="00B83CA6" w:rsidP="00A14026">
      <w:pPr>
        <w:spacing w:line="276" w:lineRule="auto"/>
        <w:ind w:left="720"/>
        <w:jc w:val="both"/>
      </w:pPr>
      <w:r w:rsidRPr="00B83CA6">
        <w:rPr>
          <w:b/>
        </w:rPr>
        <w:lastRenderedPageBreak/>
        <w:t>Guaranteed Renewability</w:t>
      </w:r>
      <w:r>
        <w:t xml:space="preserve"> – ask for </w:t>
      </w:r>
      <w:proofErr w:type="spellStart"/>
      <w:r>
        <w:t>noncancelable</w:t>
      </w:r>
      <w:proofErr w:type="spellEnd"/>
      <w:r>
        <w:t xml:space="preserve"> and guaranteed renewable coverage, which protects you from being dropped from coverage if you become ill.</w:t>
      </w:r>
    </w:p>
    <w:p w:rsidR="00B83CA6" w:rsidRDefault="00B83CA6" w:rsidP="00A14026">
      <w:pPr>
        <w:spacing w:line="276" w:lineRule="auto"/>
        <w:ind w:left="720"/>
        <w:jc w:val="both"/>
      </w:pPr>
      <w:r w:rsidRPr="00B83CA6">
        <w:rPr>
          <w:b/>
        </w:rPr>
        <w:t>Accident and Sickness Coverage</w:t>
      </w:r>
      <w:r>
        <w:t xml:space="preserve"> – some policies only cover accidents, but it is important to be insured for illness too.  You should aim for a benefit amount that would equal 60 – 70 </w:t>
      </w:r>
      <w:r w:rsidR="00A14026">
        <w:t>percent of your gross pay, under the assumption that your work related expenses will be eliminated and your taxes will be far lower.</w:t>
      </w:r>
    </w:p>
    <w:p w:rsidR="00B83CA6" w:rsidRDefault="00B83CA6" w:rsidP="00B83CA6">
      <w:pPr>
        <w:spacing w:line="276" w:lineRule="auto"/>
        <w:jc w:val="both"/>
      </w:pPr>
    </w:p>
    <w:p w:rsidR="0009401D" w:rsidRDefault="00B83CA6" w:rsidP="00A14026">
      <w:pPr>
        <w:spacing w:line="276" w:lineRule="auto"/>
        <w:jc w:val="both"/>
      </w:pPr>
      <w:r w:rsidRPr="00B83CA6">
        <w:rPr>
          <w:i/>
        </w:rPr>
        <w:t>Sources of Disability Insurance</w:t>
      </w:r>
      <w:r>
        <w:t xml:space="preserve">: Some employers provide disability protection for their employees.  Social Security provides some benefits but has strict rules, you must be a salaried worker in the U.S. and be totally disabled (unable to do </w:t>
      </w:r>
      <w:r w:rsidRPr="00B83CA6">
        <w:rPr>
          <w:i/>
        </w:rPr>
        <w:t>any</w:t>
      </w:r>
      <w:r>
        <w:t xml:space="preserve"> work) for 12 months or longer.  There are also many programs such as the Veterans Administration pension disability benefits, </w:t>
      </w:r>
      <w:r w:rsidR="00A14026">
        <w:t xml:space="preserve">state vocational rehabilitation benefits, </w:t>
      </w:r>
      <w:r>
        <w:t>some automobile insurance provides benefits for disability from auto accidents, and private insurance companies.</w:t>
      </w:r>
    </w:p>
    <w:p w:rsidR="006B45F6" w:rsidRDefault="006B45F6" w:rsidP="00A14026">
      <w:pPr>
        <w:spacing w:line="276" w:lineRule="auto"/>
        <w:jc w:val="both"/>
        <w:rPr>
          <w:b/>
        </w:rPr>
      </w:pPr>
    </w:p>
    <w:p w:rsidR="00E12C88" w:rsidRDefault="00A14026" w:rsidP="00A14026">
      <w:pPr>
        <w:spacing w:line="276" w:lineRule="auto"/>
        <w:jc w:val="both"/>
      </w:pPr>
      <w:r w:rsidRPr="00A14026">
        <w:rPr>
          <w:b/>
        </w:rPr>
        <w:t>Long-term Care Insurance</w:t>
      </w:r>
      <w:r>
        <w:rPr>
          <w:b/>
        </w:rPr>
        <w:t xml:space="preserve"> </w:t>
      </w:r>
      <w:r w:rsidRPr="00A14026">
        <w:t>– pays for assistance you might need if you ever have</w:t>
      </w:r>
      <w:r>
        <w:t xml:space="preserve"> an illness or disability that lasts a long time and leaves you unable to care for yourself.</w:t>
      </w:r>
      <w:r w:rsidR="00E12C88">
        <w:t xml:space="preserve">  </w:t>
      </w:r>
    </w:p>
    <w:p w:rsidR="00E12C88" w:rsidRDefault="00E12C88" w:rsidP="00B0252E">
      <w:pPr>
        <w:spacing w:line="276" w:lineRule="auto"/>
        <w:ind w:left="720"/>
        <w:jc w:val="both"/>
      </w:pPr>
      <w:r w:rsidRPr="00E12C88">
        <w:rPr>
          <w:i/>
        </w:rPr>
        <w:t>Internal limits</w:t>
      </w:r>
      <w:r>
        <w:t xml:space="preserve"> – is the fixed amount your policy will pay for various expenses.  For example if your policy has an internal limit of $400/day per hospital day and you are in a $600/day hospital room, you will have to pay the difference. </w:t>
      </w:r>
    </w:p>
    <w:p w:rsidR="00E12C88" w:rsidRDefault="00E12C88" w:rsidP="00B0252E">
      <w:pPr>
        <w:spacing w:line="276" w:lineRule="auto"/>
        <w:ind w:left="720"/>
        <w:jc w:val="both"/>
      </w:pPr>
      <w:r w:rsidRPr="00E12C88">
        <w:rPr>
          <w:i/>
        </w:rPr>
        <w:t>Service benefits</w:t>
      </w:r>
      <w:r>
        <w:t xml:space="preserve"> – describes insurance benefits that are expressed in terms of entitlement to receive specified hospital or medical care rather than entitlement to receive a fixed dollar amount for each procedure.  Service benefits are always preferable to coverage stated in dollar amounts.</w:t>
      </w:r>
      <w:r>
        <w:rPr>
          <w:rStyle w:val="FootnoteReference"/>
        </w:rPr>
        <w:footnoteReference w:id="13"/>
      </w:r>
    </w:p>
    <w:p w:rsidR="00E12C88" w:rsidRDefault="00B0252E" w:rsidP="00B0252E">
      <w:pPr>
        <w:spacing w:line="276" w:lineRule="auto"/>
        <w:ind w:left="720"/>
        <w:jc w:val="both"/>
      </w:pPr>
      <w:r w:rsidRPr="00B0252E">
        <w:rPr>
          <w:i/>
        </w:rPr>
        <w:t>Benefit limits</w:t>
      </w:r>
      <w:r>
        <w:t xml:space="preserve"> – many policies have limits in terms of either dollar amount or number of days in the hospital; benefit limits range from $250,000 to unlimited payments.</w:t>
      </w:r>
    </w:p>
    <w:p w:rsidR="00B0252E" w:rsidRDefault="00B0252E" w:rsidP="00B0252E">
      <w:pPr>
        <w:spacing w:line="276" w:lineRule="auto"/>
        <w:ind w:left="720"/>
        <w:jc w:val="both"/>
      </w:pPr>
      <w:r w:rsidRPr="00B0252E">
        <w:rPr>
          <w:i/>
        </w:rPr>
        <w:t>Exclusions and limitations</w:t>
      </w:r>
      <w:r>
        <w:t xml:space="preserve"> – specifies the conditions or circumstances for which the policy does not provide benefits; such as cosmetic surgery or preexisting conditions.</w:t>
      </w:r>
    </w:p>
    <w:p w:rsidR="00B0252E" w:rsidRDefault="00B0252E" w:rsidP="00B0252E">
      <w:pPr>
        <w:spacing w:line="276" w:lineRule="auto"/>
        <w:ind w:left="720"/>
        <w:jc w:val="both"/>
      </w:pPr>
      <w:r w:rsidRPr="00B0252E">
        <w:rPr>
          <w:i/>
        </w:rPr>
        <w:t>Coordination of benefits</w:t>
      </w:r>
      <w:r>
        <w:t xml:space="preserve"> – prevents you from collecting more than 100 percent of your covered charges.</w:t>
      </w:r>
    </w:p>
    <w:p w:rsidR="00B0252E" w:rsidRDefault="00B0252E" w:rsidP="00B0252E">
      <w:pPr>
        <w:spacing w:line="276" w:lineRule="auto"/>
        <w:ind w:left="720"/>
        <w:jc w:val="both"/>
      </w:pPr>
      <w:r w:rsidRPr="00B0252E">
        <w:rPr>
          <w:i/>
        </w:rPr>
        <w:t>Guaranteed renewable</w:t>
      </w:r>
      <w:r>
        <w:t xml:space="preserve"> – the insurance company cannot cancel a policy unless you fail to pay premiums when they are due and cannot raise premiums unless a rate increase occurs for all policyholders in your group.</w:t>
      </w:r>
    </w:p>
    <w:p w:rsidR="00B0252E" w:rsidRDefault="00B0252E" w:rsidP="00B0252E">
      <w:pPr>
        <w:spacing w:line="276" w:lineRule="auto"/>
        <w:ind w:left="720"/>
        <w:jc w:val="both"/>
      </w:pPr>
      <w:r w:rsidRPr="00B0252E">
        <w:rPr>
          <w:i/>
        </w:rPr>
        <w:t>Cancelation and termination</w:t>
      </w:r>
      <w:r>
        <w:t xml:space="preserve"> – explains the circumstances under which the insurance company can terminate your health insurance policy and your right to convert your group policy into an individual contract.</w:t>
      </w:r>
    </w:p>
    <w:p w:rsidR="00B0252E" w:rsidRDefault="00B0252E" w:rsidP="00A14026">
      <w:pPr>
        <w:spacing w:line="276" w:lineRule="auto"/>
        <w:jc w:val="both"/>
      </w:pPr>
    </w:p>
    <w:p w:rsidR="00F715A1" w:rsidRDefault="00E12C88" w:rsidP="00A14026">
      <w:pPr>
        <w:spacing w:line="276" w:lineRule="auto"/>
        <w:jc w:val="both"/>
      </w:pPr>
      <w:r>
        <w:t>Eldercare Locator is</w:t>
      </w:r>
      <w:r w:rsidRPr="00E12C88">
        <w:t xml:space="preserve"> a public service of the U.S. Administration on Aging </w:t>
      </w:r>
      <w:r>
        <w:t>that connects</w:t>
      </w:r>
      <w:r w:rsidRPr="00E12C88">
        <w:t xml:space="preserve"> older adults and their families</w:t>
      </w:r>
      <w:r>
        <w:t xml:space="preserve"> to local services: </w:t>
      </w:r>
      <w:r w:rsidRPr="00E12C88">
        <w:t>www.eldercare.gov</w:t>
      </w:r>
      <w:r>
        <w:t>.</w:t>
      </w:r>
    </w:p>
    <w:p w:rsidR="00F715A1" w:rsidRDefault="00F715A1" w:rsidP="00A14026">
      <w:pPr>
        <w:spacing w:line="276" w:lineRule="auto"/>
        <w:jc w:val="both"/>
        <w:rPr>
          <w:b/>
        </w:rPr>
      </w:pPr>
    </w:p>
    <w:p w:rsidR="00250575" w:rsidRPr="00F715A1" w:rsidRDefault="00250575" w:rsidP="00250575">
      <w:pPr>
        <w:spacing w:line="276" w:lineRule="auto"/>
        <w:jc w:val="center"/>
        <w:rPr>
          <w:b/>
        </w:rPr>
      </w:pPr>
      <w:r w:rsidRPr="00F715A1">
        <w:rPr>
          <w:b/>
        </w:rPr>
        <w:lastRenderedPageBreak/>
        <w:t>LIFE INSURANCE</w:t>
      </w:r>
    </w:p>
    <w:p w:rsidR="00250575" w:rsidRPr="00AF78FC" w:rsidRDefault="00250575" w:rsidP="00250575">
      <w:pPr>
        <w:spacing w:line="276" w:lineRule="auto"/>
        <w:jc w:val="both"/>
        <w:rPr>
          <w:sz w:val="6"/>
          <w:szCs w:val="6"/>
        </w:rPr>
      </w:pPr>
    </w:p>
    <w:p w:rsidR="00250575" w:rsidRPr="00F715A1" w:rsidRDefault="00250575" w:rsidP="00250575">
      <w:pPr>
        <w:spacing w:line="276" w:lineRule="auto"/>
        <w:jc w:val="center"/>
        <w:rPr>
          <w:i/>
        </w:rPr>
      </w:pPr>
      <w:r w:rsidRPr="00F715A1">
        <w:rPr>
          <w:i/>
        </w:rPr>
        <w:t>“If your death would cause financial stress for your spouse, children, parents, or anyone else you want to protect then you should consider purchasing life insurance.”</w:t>
      </w:r>
      <w:r>
        <w:rPr>
          <w:rStyle w:val="FootnoteReference"/>
          <w:i/>
        </w:rPr>
        <w:footnoteReference w:id="14"/>
      </w:r>
    </w:p>
    <w:p w:rsidR="00250575" w:rsidRPr="00AF78FC" w:rsidRDefault="00250575" w:rsidP="00250575">
      <w:pPr>
        <w:spacing w:line="276" w:lineRule="auto"/>
        <w:jc w:val="both"/>
        <w:rPr>
          <w:sz w:val="6"/>
          <w:szCs w:val="6"/>
        </w:rPr>
      </w:pPr>
    </w:p>
    <w:p w:rsidR="00250575" w:rsidRDefault="00250575" w:rsidP="00250575">
      <w:pPr>
        <w:spacing w:line="276" w:lineRule="auto"/>
        <w:jc w:val="both"/>
      </w:pPr>
      <w:proofErr w:type="gramStart"/>
      <w:r w:rsidRPr="00B745D9">
        <w:rPr>
          <w:b/>
        </w:rPr>
        <w:t>Life insurance</w:t>
      </w:r>
      <w:r>
        <w:t xml:space="preserve"> – a policy</w:t>
      </w:r>
      <w:r w:rsidRPr="00F715A1">
        <w:t xml:space="preserve"> that pays out a sum of money either on the death of the insured person or after a set period</w:t>
      </w:r>
      <w:r>
        <w:t xml:space="preserve"> of time.</w:t>
      </w:r>
      <w:proofErr w:type="gramEnd"/>
      <w:r>
        <w:t xml:space="preserve">  There are two basic types of insurance policies: temporary (term, renewable term, convertible term, and decreasing term) and permanent (while life, straight life, ordinary life, and cash value life).  Permanent insurance can be limited payment, variable, adjustable, or universal.</w:t>
      </w:r>
    </w:p>
    <w:p w:rsidR="00250575" w:rsidRPr="00AF78FC" w:rsidRDefault="00250575" w:rsidP="00250575">
      <w:pPr>
        <w:spacing w:line="276" w:lineRule="auto"/>
        <w:jc w:val="both"/>
        <w:rPr>
          <w:sz w:val="6"/>
          <w:szCs w:val="6"/>
        </w:rPr>
      </w:pPr>
    </w:p>
    <w:p w:rsidR="00250575" w:rsidRPr="00626483" w:rsidRDefault="00250575" w:rsidP="00250575">
      <w:pPr>
        <w:spacing w:line="276" w:lineRule="auto"/>
        <w:jc w:val="both"/>
        <w:rPr>
          <w:i/>
        </w:rPr>
      </w:pPr>
      <w:r w:rsidRPr="00626483">
        <w:rPr>
          <w:i/>
        </w:rPr>
        <w:t>How much life insurance do you need?</w:t>
      </w:r>
    </w:p>
    <w:p w:rsidR="00250575" w:rsidRDefault="00250575" w:rsidP="00250575">
      <w:pPr>
        <w:jc w:val="both"/>
      </w:pPr>
      <w:r>
        <w:t>Rule of Thumb a “typical family”</w:t>
      </w:r>
      <w:r>
        <w:rPr>
          <w:rStyle w:val="FootnoteReference"/>
        </w:rPr>
        <w:footnoteReference w:id="15"/>
      </w:r>
      <w:r>
        <w:t xml:space="preserve"> will need approximately 70 percent of your salary for seven years before they adjust to the financial consequences of your death.</w:t>
      </w:r>
      <w:r>
        <w:rPr>
          <w:rStyle w:val="FootnoteReference"/>
        </w:rPr>
        <w:footnoteReference w:id="16"/>
      </w:r>
    </w:p>
    <w:p w:rsidR="00250575" w:rsidRPr="00AF78FC" w:rsidRDefault="00250575" w:rsidP="00250575">
      <w:pPr>
        <w:spacing w:line="276" w:lineRule="auto"/>
        <w:jc w:val="both"/>
        <w:rPr>
          <w:sz w:val="12"/>
          <w:szCs w:val="12"/>
        </w:rPr>
      </w:pPr>
    </w:p>
    <w:p w:rsidR="00250575" w:rsidRDefault="00250575" w:rsidP="00250575">
      <w:pPr>
        <w:spacing w:line="276" w:lineRule="auto"/>
        <w:jc w:val="both"/>
      </w:pPr>
      <w:r w:rsidRPr="00932B38">
        <w:rPr>
          <w:b/>
        </w:rPr>
        <w:t>Term Life Insurance</w:t>
      </w:r>
      <w:r>
        <w:t xml:space="preserve"> – is protection for a specified period of time, usually 1, 5, 10, or 20 </w:t>
      </w:r>
      <w:proofErr w:type="gramStart"/>
      <w:r>
        <w:t>years,</w:t>
      </w:r>
      <w:proofErr w:type="gramEnd"/>
      <w:r>
        <w:t xml:space="preserve"> or up to age 70.  A term policy pays a benefit only if you die during the period it covers.  If you stop paying the premiums, the insurance stops.</w:t>
      </w:r>
    </w:p>
    <w:p w:rsidR="00250575" w:rsidRDefault="00250575" w:rsidP="00250575">
      <w:pPr>
        <w:spacing w:line="276" w:lineRule="auto"/>
        <w:jc w:val="both"/>
      </w:pPr>
      <w:r>
        <w:tab/>
        <w:t>Renewability option – allows you to renew to age 70.</w:t>
      </w:r>
    </w:p>
    <w:p w:rsidR="00250575" w:rsidRDefault="00250575" w:rsidP="00250575">
      <w:pPr>
        <w:spacing w:line="276" w:lineRule="auto"/>
        <w:jc w:val="both"/>
      </w:pPr>
      <w:r>
        <w:tab/>
        <w:t>Multiyear level term – guarantees the same premium for the life of your policy.</w:t>
      </w:r>
    </w:p>
    <w:p w:rsidR="00250575" w:rsidRDefault="00250575" w:rsidP="00250575">
      <w:pPr>
        <w:spacing w:line="276" w:lineRule="auto"/>
        <w:jc w:val="both"/>
      </w:pPr>
      <w:r>
        <w:tab/>
        <w:t>Conversion option – allows you to convert to whole life without a medical exam.</w:t>
      </w:r>
      <w:r>
        <w:rPr>
          <w:rStyle w:val="FootnoteReference"/>
        </w:rPr>
        <w:footnoteReference w:id="17"/>
      </w:r>
    </w:p>
    <w:p w:rsidR="00250575" w:rsidRPr="00AF78FC" w:rsidRDefault="00250575" w:rsidP="00250575">
      <w:pPr>
        <w:spacing w:line="276" w:lineRule="auto"/>
        <w:jc w:val="both"/>
        <w:rPr>
          <w:sz w:val="6"/>
          <w:szCs w:val="6"/>
        </w:rPr>
      </w:pPr>
    </w:p>
    <w:p w:rsidR="00250575" w:rsidRDefault="00250575" w:rsidP="00250575">
      <w:pPr>
        <w:spacing w:line="276" w:lineRule="auto"/>
        <w:jc w:val="both"/>
      </w:pPr>
      <w:r w:rsidRPr="00626483">
        <w:rPr>
          <w:b/>
        </w:rPr>
        <w:t>Whole Life Insurance</w:t>
      </w:r>
      <w:r>
        <w:t xml:space="preserve"> – pay a specified premium each year for as long as you live in return for a stipulated sum to your beneficiaries.  The cash surrender value is an amount which increases each year and can receive if you cancel your policy. </w:t>
      </w:r>
    </w:p>
    <w:p w:rsidR="00250575" w:rsidRPr="00AF78FC" w:rsidRDefault="00250575" w:rsidP="00250575">
      <w:pPr>
        <w:spacing w:line="276" w:lineRule="auto"/>
        <w:jc w:val="both"/>
        <w:rPr>
          <w:sz w:val="6"/>
          <w:szCs w:val="6"/>
        </w:rPr>
      </w:pPr>
    </w:p>
    <w:p w:rsidR="00250575" w:rsidRDefault="00250575" w:rsidP="00250575">
      <w:pPr>
        <w:jc w:val="both"/>
      </w:pPr>
      <w:r>
        <w:t xml:space="preserve">There are two types of insurance companies: </w:t>
      </w:r>
      <w:r w:rsidRPr="00F51F72">
        <w:rPr>
          <w:i/>
        </w:rPr>
        <w:t>stock life insurance companies</w:t>
      </w:r>
      <w:r>
        <w:rPr>
          <w:rStyle w:val="FootnoteReference"/>
          <w:i/>
        </w:rPr>
        <w:footnoteReference w:id="18"/>
      </w:r>
      <w:r>
        <w:t xml:space="preserve"> owned by stockholders and </w:t>
      </w:r>
      <w:r w:rsidRPr="00F51F72">
        <w:rPr>
          <w:i/>
        </w:rPr>
        <w:t>mutual life insurance companies</w:t>
      </w:r>
      <w:r>
        <w:rPr>
          <w:rStyle w:val="FootnoteReference"/>
          <w:i/>
        </w:rPr>
        <w:footnoteReference w:id="19"/>
      </w:r>
      <w:r>
        <w:t xml:space="preserve"> owned by policyholders.  </w:t>
      </w:r>
      <w:r w:rsidRPr="00F51F72">
        <w:rPr>
          <w:i/>
        </w:rPr>
        <w:t>Note</w:t>
      </w:r>
      <w:r>
        <w:t>: It is important to consider the financial stability, reliability, and the service the insurance company provides.</w:t>
      </w:r>
    </w:p>
    <w:p w:rsidR="00250575" w:rsidRPr="00AF78FC" w:rsidRDefault="00250575" w:rsidP="00250575">
      <w:pPr>
        <w:spacing w:line="276" w:lineRule="auto"/>
        <w:jc w:val="both"/>
        <w:rPr>
          <w:sz w:val="6"/>
          <w:szCs w:val="6"/>
        </w:rPr>
      </w:pPr>
    </w:p>
    <w:p w:rsidR="00250575" w:rsidRPr="005906CE" w:rsidRDefault="00250575" w:rsidP="00250575">
      <w:pPr>
        <w:jc w:val="center"/>
        <w:rPr>
          <w:i/>
        </w:rPr>
      </w:pPr>
      <w:r>
        <w:rPr>
          <w:i/>
        </w:rPr>
        <w:t>“</w:t>
      </w:r>
      <w:r w:rsidRPr="005906CE">
        <w:rPr>
          <w:i/>
        </w:rPr>
        <w:t>Every time an insurance company is declared insolvent, thousands of policyholders suddenly find themselves with some very serious problems. In addition to the loss of their premium dollars, they are forced to purchase replacement coverage from other carriers, often at higher rates. If savings are held by the insurer or scheduled pay outs are in process at the time of failure, those funds can be frozen and the guaranteed payments called into question.</w:t>
      </w:r>
      <w:r>
        <w:rPr>
          <w:i/>
        </w:rPr>
        <w:t>”</w:t>
      </w:r>
      <w:r>
        <w:rPr>
          <w:rStyle w:val="FootnoteReference"/>
          <w:i/>
        </w:rPr>
        <w:footnoteReference w:id="20"/>
      </w:r>
    </w:p>
    <w:p w:rsidR="00250575" w:rsidRPr="00AF78FC" w:rsidRDefault="00250575" w:rsidP="00250575">
      <w:pPr>
        <w:spacing w:line="276" w:lineRule="auto"/>
        <w:jc w:val="both"/>
        <w:rPr>
          <w:sz w:val="6"/>
          <w:szCs w:val="6"/>
        </w:rPr>
      </w:pPr>
    </w:p>
    <w:p w:rsidR="00250575" w:rsidRDefault="00250575" w:rsidP="00250575">
      <w:pPr>
        <w:spacing w:line="276" w:lineRule="auto"/>
        <w:jc w:val="both"/>
      </w:pPr>
      <w:r>
        <w:rPr>
          <w:b/>
          <w:i/>
        </w:rPr>
        <w:t>Many</w:t>
      </w:r>
      <w:r w:rsidRPr="00AF78FC">
        <w:rPr>
          <w:b/>
          <w:i/>
        </w:rPr>
        <w:t xml:space="preserve"> Companies Rate Insurance Companies</w:t>
      </w:r>
      <w:r>
        <w:t>:</w:t>
      </w:r>
      <w:r>
        <w:rPr>
          <w:rStyle w:val="FootnoteReference"/>
        </w:rPr>
        <w:footnoteReference w:id="21"/>
      </w:r>
      <w:r>
        <w:t xml:space="preserve"> </w:t>
      </w:r>
      <w:r w:rsidRPr="005906CE">
        <w:t>J.D. Power &amp; Associates</w:t>
      </w:r>
      <w:r>
        <w:t>; Standard and Poor’s; Consumer Reports; A.M. Best; Kiplinger’s Personal Finance; and Money.</w:t>
      </w:r>
    </w:p>
    <w:p w:rsidR="00250575" w:rsidRDefault="00250575" w:rsidP="00250575">
      <w:pPr>
        <w:spacing w:line="276" w:lineRule="auto"/>
        <w:jc w:val="both"/>
        <w:rPr>
          <w:i/>
        </w:rPr>
      </w:pPr>
    </w:p>
    <w:p w:rsidR="00250575" w:rsidRDefault="00250575" w:rsidP="00250575">
      <w:pPr>
        <w:spacing w:line="276" w:lineRule="auto"/>
        <w:jc w:val="both"/>
      </w:pPr>
      <w:r>
        <w:rPr>
          <w:b/>
        </w:rPr>
        <w:t xml:space="preserve">Riders </w:t>
      </w:r>
      <w:r>
        <w:t>– any document attached to the policy that modifies its coverage by adding or excluding specified conditions or altering its benefits.</w:t>
      </w:r>
    </w:p>
    <w:p w:rsidR="00250575" w:rsidRDefault="00250575" w:rsidP="00250575">
      <w:pPr>
        <w:spacing w:line="276" w:lineRule="auto"/>
        <w:jc w:val="both"/>
      </w:pPr>
      <w:r>
        <w:tab/>
      </w:r>
      <w:r w:rsidRPr="007A58AB">
        <w:rPr>
          <w:i/>
        </w:rPr>
        <w:t>Waiver of Premium Disability Benefit</w:t>
      </w:r>
      <w:r>
        <w:t xml:space="preserve"> – under this provision the company waives any premiums that are due after the onset of total and permanent disability, but the disability must occur before you reach a certain age (e.g. 60).</w:t>
      </w:r>
    </w:p>
    <w:p w:rsidR="00250575" w:rsidRDefault="00250575" w:rsidP="00250575">
      <w:pPr>
        <w:spacing w:line="276" w:lineRule="auto"/>
        <w:ind w:firstLine="720"/>
        <w:jc w:val="both"/>
      </w:pPr>
      <w:r w:rsidRPr="007A58AB">
        <w:rPr>
          <w:i/>
        </w:rPr>
        <w:t>Accidental Death Benefit</w:t>
      </w:r>
      <w:r>
        <w:t xml:space="preserve"> – under this policy the insurance company pays twice the face amount of the policy if the insured’s death results from an accident if the death occurs within a certain period after the injury. </w:t>
      </w:r>
      <w:r w:rsidRPr="007A58AB">
        <w:rPr>
          <w:i/>
        </w:rPr>
        <w:t>Note</w:t>
      </w:r>
      <w:r>
        <w:t>: this is typically expensive and there is a low probability that your beneficiaries would collect the double payment.</w:t>
      </w:r>
    </w:p>
    <w:p w:rsidR="00250575" w:rsidRDefault="00250575" w:rsidP="00250575">
      <w:pPr>
        <w:spacing w:line="276" w:lineRule="auto"/>
        <w:ind w:firstLine="720"/>
        <w:jc w:val="both"/>
      </w:pPr>
      <w:r w:rsidRPr="007A58AB">
        <w:rPr>
          <w:i/>
        </w:rPr>
        <w:t>Guaranteed Insurability</w:t>
      </w:r>
      <w:r>
        <w:t xml:space="preserve"> – allows you to buy specified additional amounts of insurance at stated intervals without proof of insurability.</w:t>
      </w:r>
    </w:p>
    <w:p w:rsidR="00250575" w:rsidRDefault="00250575" w:rsidP="00250575">
      <w:pPr>
        <w:spacing w:line="276" w:lineRule="auto"/>
        <w:ind w:firstLine="720"/>
        <w:jc w:val="both"/>
      </w:pPr>
      <w:r w:rsidRPr="007A58AB">
        <w:rPr>
          <w:i/>
        </w:rPr>
        <w:t>Cost-of-living Protection</w:t>
      </w:r>
      <w:r>
        <w:t xml:space="preserve"> – helps prevent inflation from eroding the purchasing power of the protection your policy provides.  </w:t>
      </w:r>
      <w:r w:rsidRPr="007A58AB">
        <w:rPr>
          <w:i/>
        </w:rPr>
        <w:t>Note</w:t>
      </w:r>
      <w:r>
        <w:t xml:space="preserve">: your insurance needs are likely to be smaller in later years.  </w:t>
      </w:r>
      <w:r w:rsidRPr="007A58AB">
        <w:rPr>
          <w:i/>
        </w:rPr>
        <w:t>Survivorship Life</w:t>
      </w:r>
      <w:r>
        <w:t xml:space="preserve"> – for two lives, pays the death benefit when the second spouse dies.</w:t>
      </w:r>
    </w:p>
    <w:p w:rsidR="00250575" w:rsidRDefault="00250575" w:rsidP="00250575">
      <w:pPr>
        <w:spacing w:line="276" w:lineRule="auto"/>
        <w:ind w:firstLine="720"/>
        <w:jc w:val="both"/>
      </w:pPr>
      <w:r>
        <w:rPr>
          <w:i/>
        </w:rPr>
        <w:t>Living</w:t>
      </w:r>
      <w:r w:rsidRPr="007A58AB">
        <w:rPr>
          <w:i/>
        </w:rPr>
        <w:t xml:space="preserve"> Benefits</w:t>
      </w:r>
      <w:r>
        <w:t xml:space="preserve"> – pays proceeds to the terminally ill policyholder before he or she dies.  </w:t>
      </w:r>
    </w:p>
    <w:p w:rsidR="00250575" w:rsidRPr="00AB7DB4" w:rsidRDefault="00250575" w:rsidP="00250575">
      <w:pPr>
        <w:spacing w:line="276" w:lineRule="auto"/>
        <w:jc w:val="both"/>
        <w:rPr>
          <w:sz w:val="12"/>
          <w:szCs w:val="12"/>
        </w:rPr>
      </w:pPr>
    </w:p>
    <w:p w:rsidR="00250575" w:rsidRDefault="00250575" w:rsidP="00250575">
      <w:pPr>
        <w:spacing w:line="276" w:lineRule="auto"/>
        <w:jc w:val="both"/>
      </w:pPr>
      <w:r w:rsidRPr="003869F5">
        <w:rPr>
          <w:b/>
        </w:rPr>
        <w:t xml:space="preserve">Settlement Options </w:t>
      </w:r>
      <w:r>
        <w:t>– represent the different methods for paying out a benefit available to beneficiaries when an individual covered by a life insurance policy dies.</w:t>
      </w:r>
      <w:r>
        <w:rPr>
          <w:rStyle w:val="FootnoteReference"/>
        </w:rPr>
        <w:footnoteReference w:id="22"/>
      </w:r>
      <w:r>
        <w:t xml:space="preserve"> The most common settlement options are: lump sum payment, limited installment payment, life income, and proceeds left with the company.</w:t>
      </w:r>
      <w:r>
        <w:rPr>
          <w:rStyle w:val="FootnoteReference"/>
        </w:rPr>
        <w:footnoteReference w:id="23"/>
      </w:r>
    </w:p>
    <w:p w:rsidR="00250575" w:rsidRPr="00AB7DB4" w:rsidRDefault="00250575" w:rsidP="00250575">
      <w:pPr>
        <w:spacing w:line="276" w:lineRule="auto"/>
        <w:jc w:val="both"/>
        <w:rPr>
          <w:sz w:val="12"/>
          <w:szCs w:val="12"/>
        </w:rPr>
      </w:pPr>
    </w:p>
    <w:p w:rsidR="00250575" w:rsidRPr="003869F5" w:rsidRDefault="00250575" w:rsidP="00250575">
      <w:pPr>
        <w:spacing w:line="276" w:lineRule="auto"/>
        <w:jc w:val="center"/>
        <w:rPr>
          <w:i/>
        </w:rPr>
      </w:pPr>
      <w:r>
        <w:rPr>
          <w:i/>
        </w:rPr>
        <w:t>“The annuity is often described as the opposite of insurance: It pays while you live, while life insurance pays when you die.”</w:t>
      </w:r>
      <w:r>
        <w:rPr>
          <w:rStyle w:val="FootnoteReference"/>
          <w:i/>
        </w:rPr>
        <w:footnoteReference w:id="24"/>
      </w:r>
    </w:p>
    <w:p w:rsidR="00250575" w:rsidRPr="00AB7DB4" w:rsidRDefault="00250575" w:rsidP="00250575">
      <w:pPr>
        <w:spacing w:line="276" w:lineRule="auto"/>
        <w:jc w:val="both"/>
        <w:rPr>
          <w:sz w:val="12"/>
          <w:szCs w:val="12"/>
        </w:rPr>
      </w:pPr>
    </w:p>
    <w:p w:rsidR="00250575" w:rsidRDefault="00250575" w:rsidP="00250575">
      <w:pPr>
        <w:spacing w:line="276" w:lineRule="auto"/>
        <w:jc w:val="both"/>
      </w:pPr>
      <w:r w:rsidRPr="003869F5">
        <w:rPr>
          <w:b/>
        </w:rPr>
        <w:t xml:space="preserve">Annuities </w:t>
      </w:r>
      <w:r>
        <w:t xml:space="preserve">– represent </w:t>
      </w:r>
      <w:proofErr w:type="gramStart"/>
      <w:r>
        <w:t>financial contracts that provides</w:t>
      </w:r>
      <w:proofErr w:type="gramEnd"/>
      <w:r>
        <w:t xml:space="preserve"> a regular income for as long as the person lives. </w:t>
      </w:r>
      <w:r w:rsidRPr="003869F5">
        <w:rPr>
          <w:i/>
        </w:rPr>
        <w:t xml:space="preserve">Immediate annuities </w:t>
      </w:r>
      <w:r>
        <w:t xml:space="preserve">begin at once, while </w:t>
      </w:r>
      <w:r w:rsidRPr="003869F5">
        <w:rPr>
          <w:i/>
        </w:rPr>
        <w:t>deferred annuities</w:t>
      </w:r>
      <w:r>
        <w:t xml:space="preserve"> begin at some future date. A </w:t>
      </w:r>
      <w:r w:rsidRPr="00AB7DB4">
        <w:rPr>
          <w:i/>
        </w:rPr>
        <w:t>fixed annuity</w:t>
      </w:r>
      <w:r>
        <w:t xml:space="preserve"> pays a fixed amount of income over a certain period or for life.  Payments from a </w:t>
      </w:r>
      <w:r w:rsidRPr="00AB7DB4">
        <w:rPr>
          <w:i/>
        </w:rPr>
        <w:t>variable annuity</w:t>
      </w:r>
      <w:r>
        <w:t xml:space="preserve"> vary with income received from stock and other investments.  Variable annuities offer many optional features including: a stepped-up death benefit; </w:t>
      </w:r>
      <w:proofErr w:type="gramStart"/>
      <w:r>
        <w:t>a guaranteed minimum income payments</w:t>
      </w:r>
      <w:proofErr w:type="gramEnd"/>
      <w:r>
        <w:t>; or long-term care insurance.</w:t>
      </w:r>
      <w:r>
        <w:rPr>
          <w:rStyle w:val="FootnoteReference"/>
        </w:rPr>
        <w:footnoteReference w:id="25"/>
      </w:r>
    </w:p>
    <w:p w:rsidR="00250575" w:rsidRPr="00AB7DB4" w:rsidRDefault="00250575" w:rsidP="00250575">
      <w:pPr>
        <w:spacing w:line="276" w:lineRule="auto"/>
        <w:jc w:val="both"/>
        <w:rPr>
          <w:sz w:val="12"/>
          <w:szCs w:val="12"/>
        </w:rPr>
      </w:pPr>
    </w:p>
    <w:p w:rsidR="00250575" w:rsidRDefault="00250575" w:rsidP="00250575">
      <w:pPr>
        <w:spacing w:line="276" w:lineRule="auto"/>
        <w:jc w:val="both"/>
      </w:pPr>
      <w:r>
        <w:t xml:space="preserve">A primary reason for buying an annuity is to give you retirement income for the rest of your life.  </w:t>
      </w:r>
      <w:r w:rsidRPr="00AB7DB4">
        <w:rPr>
          <w:i/>
        </w:rPr>
        <w:t>Note</w:t>
      </w:r>
      <w:r>
        <w:t>: You should fully fund your IRA, Keogh,</w:t>
      </w:r>
      <w:r>
        <w:rPr>
          <w:rStyle w:val="FootnoteReference"/>
        </w:rPr>
        <w:footnoteReference w:id="26"/>
      </w:r>
      <w:r>
        <w:t xml:space="preserve"> and 401(k) before considering annuities.</w:t>
      </w:r>
    </w:p>
    <w:p w:rsidR="00250575" w:rsidRPr="006B45F6" w:rsidRDefault="00250575" w:rsidP="00A14026">
      <w:pPr>
        <w:spacing w:line="276" w:lineRule="auto"/>
        <w:jc w:val="both"/>
        <w:rPr>
          <w:b/>
        </w:rPr>
      </w:pPr>
    </w:p>
    <w:sectPr w:rsidR="00250575" w:rsidRPr="006B45F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1B0" w:rsidRDefault="001411B0" w:rsidP="00990BDD">
      <w:r>
        <w:separator/>
      </w:r>
    </w:p>
  </w:endnote>
  <w:endnote w:type="continuationSeparator" w:id="0">
    <w:p w:rsidR="001411B0" w:rsidRDefault="001411B0" w:rsidP="0099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444319"/>
      <w:docPartObj>
        <w:docPartGallery w:val="Page Numbers (Bottom of Page)"/>
        <w:docPartUnique/>
      </w:docPartObj>
    </w:sdtPr>
    <w:sdtEndPr>
      <w:rPr>
        <w:noProof/>
      </w:rPr>
    </w:sdtEndPr>
    <w:sdtContent>
      <w:p w:rsidR="00727E8E" w:rsidRDefault="00727E8E">
        <w:pPr>
          <w:pStyle w:val="Footer"/>
          <w:jc w:val="right"/>
        </w:pPr>
        <w:r>
          <w:fldChar w:fldCharType="begin"/>
        </w:r>
        <w:r>
          <w:instrText xml:space="preserve"> PAGE   \* MERGEFORMAT </w:instrText>
        </w:r>
        <w:r>
          <w:fldChar w:fldCharType="separate"/>
        </w:r>
        <w:r w:rsidR="00B51F15">
          <w:rPr>
            <w:noProof/>
          </w:rPr>
          <w:t>3</w:t>
        </w:r>
        <w:r>
          <w:rPr>
            <w:noProof/>
          </w:rPr>
          <w:fldChar w:fldCharType="end"/>
        </w:r>
      </w:p>
    </w:sdtContent>
  </w:sdt>
  <w:p w:rsidR="00727E8E" w:rsidRDefault="00727E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1B0" w:rsidRDefault="001411B0" w:rsidP="00990BDD">
      <w:r>
        <w:separator/>
      </w:r>
    </w:p>
  </w:footnote>
  <w:footnote w:type="continuationSeparator" w:id="0">
    <w:p w:rsidR="001411B0" w:rsidRDefault="001411B0" w:rsidP="00990BDD">
      <w:r>
        <w:continuationSeparator/>
      </w:r>
    </w:p>
  </w:footnote>
  <w:footnote w:id="1">
    <w:p w:rsidR="00B745D9" w:rsidRDefault="00B745D9">
      <w:pPr>
        <w:pStyle w:val="FootnoteText"/>
      </w:pPr>
      <w:r>
        <w:rPr>
          <w:rStyle w:val="FootnoteReference"/>
        </w:rPr>
        <w:footnoteRef/>
      </w:r>
      <w:r>
        <w:t xml:space="preserve"> </w:t>
      </w:r>
      <w:r w:rsidRPr="00E742F7">
        <w:t>http://www.salary.com/benefits/layouthtmls/bnfl_display_nocat_Ser77_Par166.html</w:t>
      </w:r>
    </w:p>
  </w:footnote>
  <w:footnote w:id="2">
    <w:p w:rsidR="00B745D9" w:rsidRDefault="00B745D9" w:rsidP="00E742F7">
      <w:pPr>
        <w:pStyle w:val="FootnoteText"/>
      </w:pPr>
      <w:r>
        <w:rPr>
          <w:rStyle w:val="FootnoteReference"/>
        </w:rPr>
        <w:footnoteRef/>
      </w:r>
      <w:r>
        <w:t xml:space="preserve"> </w:t>
      </w:r>
      <w:r w:rsidRPr="00990BDD">
        <w:t>http://health.usnews.com/health-insurance/massachusetts</w:t>
      </w:r>
    </w:p>
  </w:footnote>
  <w:footnote w:id="3">
    <w:p w:rsidR="00B745D9" w:rsidRDefault="00B745D9">
      <w:pPr>
        <w:pStyle w:val="FootnoteText"/>
      </w:pPr>
      <w:r>
        <w:rPr>
          <w:rStyle w:val="FootnoteReference"/>
        </w:rPr>
        <w:footnoteRef/>
      </w:r>
      <w:r>
        <w:t xml:space="preserve"> </w:t>
      </w:r>
      <w:r w:rsidRPr="002E4E5C">
        <w:t>http://www.bls.gov/ncs/ebs/sp/healthterms.pdf</w:t>
      </w:r>
    </w:p>
  </w:footnote>
  <w:footnote w:id="4">
    <w:p w:rsidR="00B745D9" w:rsidRDefault="00B745D9">
      <w:pPr>
        <w:pStyle w:val="FootnoteText"/>
      </w:pPr>
      <w:r>
        <w:rPr>
          <w:rStyle w:val="FootnoteReference"/>
        </w:rPr>
        <w:footnoteRef/>
      </w:r>
      <w:r>
        <w:t xml:space="preserve"> Cited from </w:t>
      </w:r>
      <w:r w:rsidRPr="002E4E5C">
        <w:rPr>
          <w:u w:val="single"/>
        </w:rPr>
        <w:t>Personal Finance</w:t>
      </w:r>
      <w:r>
        <w:t xml:space="preserve"> 6</w:t>
      </w:r>
      <w:r w:rsidRPr="002E4E5C">
        <w:rPr>
          <w:vertAlign w:val="superscript"/>
        </w:rPr>
        <w:t>th</w:t>
      </w:r>
      <w:r>
        <w:t xml:space="preserve"> edition by Arthur </w:t>
      </w:r>
      <w:proofErr w:type="spellStart"/>
      <w:proofErr w:type="gramStart"/>
      <w:r>
        <w:t>Keown</w:t>
      </w:r>
      <w:proofErr w:type="spellEnd"/>
      <w:r>
        <w:t xml:space="preserve">  Chapter</w:t>
      </w:r>
      <w:proofErr w:type="gramEnd"/>
      <w:r>
        <w:t xml:space="preserve"> 9, p.313 definitions.</w:t>
      </w:r>
    </w:p>
  </w:footnote>
  <w:footnote w:id="5">
    <w:p w:rsidR="00B745D9" w:rsidRDefault="00B745D9">
      <w:pPr>
        <w:pStyle w:val="FootnoteText"/>
      </w:pPr>
      <w:r>
        <w:rPr>
          <w:rStyle w:val="FootnoteReference"/>
        </w:rPr>
        <w:footnoteRef/>
      </w:r>
      <w:r>
        <w:t xml:space="preserve"> </w:t>
      </w:r>
      <w:r w:rsidRPr="00DD1689">
        <w:t>http://www.aftrahr.com/home/faqs/health_faqs/balance_billing_faqs.aspx</w:t>
      </w:r>
    </w:p>
  </w:footnote>
  <w:footnote w:id="6">
    <w:p w:rsidR="00B745D9" w:rsidRDefault="00B745D9">
      <w:pPr>
        <w:pStyle w:val="FootnoteText"/>
      </w:pPr>
      <w:r>
        <w:rPr>
          <w:rStyle w:val="FootnoteReference"/>
        </w:rPr>
        <w:footnoteRef/>
      </w:r>
      <w:r>
        <w:t xml:space="preserve"> </w:t>
      </w:r>
      <w:r w:rsidRPr="00E15567">
        <w:t>http://www.bankrate.com/finance/insurance/10-ways-to-save-on-health-care-costs-3.aspx</w:t>
      </w:r>
    </w:p>
  </w:footnote>
  <w:footnote w:id="7">
    <w:p w:rsidR="00B745D9" w:rsidRDefault="00B745D9">
      <w:pPr>
        <w:pStyle w:val="FootnoteText"/>
      </w:pPr>
      <w:r>
        <w:rPr>
          <w:rStyle w:val="FootnoteReference"/>
        </w:rPr>
        <w:footnoteRef/>
      </w:r>
      <w:r>
        <w:t xml:space="preserve"> </w:t>
      </w:r>
      <w:r w:rsidRPr="00453A39">
        <w:t>http://www.bankrate.com/finance/insurance/10-ways-to-save-on-health-care-costs-1.aspx</w:t>
      </w:r>
    </w:p>
  </w:footnote>
  <w:footnote w:id="8">
    <w:p w:rsidR="00B745D9" w:rsidRDefault="00B745D9">
      <w:pPr>
        <w:pStyle w:val="FootnoteText"/>
      </w:pPr>
      <w:r>
        <w:rPr>
          <w:rStyle w:val="FootnoteReference"/>
        </w:rPr>
        <w:footnoteRef/>
      </w:r>
      <w:r>
        <w:t xml:space="preserve"> </w:t>
      </w:r>
      <w:r w:rsidRPr="00E15567">
        <w:t>http://www.bankrate.com/finance/insurance/10-ways-to-save-on-health-care-costs-3.aspx</w:t>
      </w:r>
    </w:p>
  </w:footnote>
  <w:footnote w:id="9">
    <w:p w:rsidR="00B745D9" w:rsidRDefault="00B745D9">
      <w:pPr>
        <w:pStyle w:val="FootnoteText"/>
      </w:pPr>
      <w:r>
        <w:rPr>
          <w:rStyle w:val="FootnoteReference"/>
        </w:rPr>
        <w:footnoteRef/>
      </w:r>
      <w:r>
        <w:t xml:space="preserve"> </w:t>
      </w:r>
      <w:r w:rsidRPr="008332E1">
        <w:t>http://www.kiplinger.com/article/spending/T027-C000-S002-30-ways-to-cut-health-care-costs.html</w:t>
      </w:r>
    </w:p>
  </w:footnote>
  <w:footnote w:id="10">
    <w:p w:rsidR="00B745D9" w:rsidRDefault="00B745D9">
      <w:pPr>
        <w:pStyle w:val="FootnoteText"/>
      </w:pPr>
      <w:r>
        <w:rPr>
          <w:rStyle w:val="FootnoteReference"/>
        </w:rPr>
        <w:footnoteRef/>
      </w:r>
      <w:r>
        <w:t xml:space="preserve"> Source </w:t>
      </w:r>
      <w:r w:rsidRPr="001869B3">
        <w:rPr>
          <w:u w:val="single"/>
        </w:rPr>
        <w:t>Personal Finance</w:t>
      </w:r>
      <w:r>
        <w:t xml:space="preserve"> by </w:t>
      </w:r>
      <w:proofErr w:type="spellStart"/>
      <w:r>
        <w:t>Kapoor</w:t>
      </w:r>
      <w:proofErr w:type="spellEnd"/>
      <w:r>
        <w:t xml:space="preserve">, </w:t>
      </w:r>
      <w:proofErr w:type="spellStart"/>
      <w:r>
        <w:t>Dlabay</w:t>
      </w:r>
      <w:proofErr w:type="spellEnd"/>
      <w:r>
        <w:t>, and Hughes, Chapter 11, p. 352.</w:t>
      </w:r>
    </w:p>
  </w:footnote>
  <w:footnote w:id="11">
    <w:p w:rsidR="00B745D9" w:rsidRDefault="00B745D9">
      <w:pPr>
        <w:pStyle w:val="FootnoteText"/>
      </w:pPr>
      <w:r>
        <w:rPr>
          <w:rStyle w:val="FootnoteReference"/>
        </w:rPr>
        <w:footnoteRef/>
      </w:r>
      <w:r>
        <w:t xml:space="preserve"> For more information visit nclnet.org or statehealthfacts.org</w:t>
      </w:r>
    </w:p>
  </w:footnote>
  <w:footnote w:id="12">
    <w:p w:rsidR="00B745D9" w:rsidRDefault="00B745D9">
      <w:pPr>
        <w:pStyle w:val="FootnoteText"/>
      </w:pPr>
      <w:r>
        <w:rPr>
          <w:rStyle w:val="FootnoteReference"/>
        </w:rPr>
        <w:footnoteRef/>
      </w:r>
      <w:r>
        <w:t xml:space="preserve"> </w:t>
      </w:r>
      <w:r w:rsidRPr="006313FC">
        <w:t xml:space="preserve">Source </w:t>
      </w:r>
      <w:r w:rsidRPr="006313FC">
        <w:rPr>
          <w:u w:val="single"/>
        </w:rPr>
        <w:t>Personal Finance</w:t>
      </w:r>
      <w:r w:rsidRPr="006313FC">
        <w:t xml:space="preserve"> by </w:t>
      </w:r>
      <w:proofErr w:type="spellStart"/>
      <w:r w:rsidRPr="006313FC">
        <w:t>Kapoor</w:t>
      </w:r>
      <w:proofErr w:type="spellEnd"/>
      <w:r w:rsidRPr="006313FC">
        <w:t xml:space="preserve">, </w:t>
      </w:r>
      <w:proofErr w:type="spellStart"/>
      <w:r w:rsidRPr="006313FC">
        <w:t>Dlabay</w:t>
      </w:r>
      <w:proofErr w:type="spellEnd"/>
      <w:r w:rsidRPr="006313FC">
        <w:t>, and Hughes, Chapter 11, p. 3</w:t>
      </w:r>
      <w:r>
        <w:t>76</w:t>
      </w:r>
      <w:r w:rsidRPr="006313FC">
        <w:t>.</w:t>
      </w:r>
    </w:p>
  </w:footnote>
  <w:footnote w:id="13">
    <w:p w:rsidR="00B745D9" w:rsidRDefault="00B745D9">
      <w:pPr>
        <w:pStyle w:val="FootnoteText"/>
      </w:pPr>
      <w:r>
        <w:rPr>
          <w:rStyle w:val="FootnoteReference"/>
        </w:rPr>
        <w:footnoteRef/>
      </w:r>
      <w:r>
        <w:t xml:space="preserve"> </w:t>
      </w:r>
      <w:r w:rsidRPr="006313FC">
        <w:t xml:space="preserve">Source </w:t>
      </w:r>
      <w:r w:rsidRPr="006313FC">
        <w:rPr>
          <w:u w:val="single"/>
        </w:rPr>
        <w:t>Personal Finance</w:t>
      </w:r>
      <w:r w:rsidRPr="006313FC">
        <w:t xml:space="preserve"> by </w:t>
      </w:r>
      <w:proofErr w:type="spellStart"/>
      <w:r w:rsidRPr="006313FC">
        <w:t>Kapoor</w:t>
      </w:r>
      <w:proofErr w:type="spellEnd"/>
      <w:r w:rsidRPr="006313FC">
        <w:t xml:space="preserve">, </w:t>
      </w:r>
      <w:proofErr w:type="spellStart"/>
      <w:r w:rsidRPr="006313FC">
        <w:t>Dlabay</w:t>
      </w:r>
      <w:proofErr w:type="spellEnd"/>
      <w:r w:rsidRPr="006313FC">
        <w:t xml:space="preserve">, and Hughes, Chapter 11, p. </w:t>
      </w:r>
      <w:r>
        <w:t>359</w:t>
      </w:r>
      <w:r w:rsidRPr="006313FC">
        <w:t>.</w:t>
      </w:r>
    </w:p>
  </w:footnote>
  <w:footnote w:id="14">
    <w:p w:rsidR="00250575" w:rsidRDefault="00250575" w:rsidP="00250575">
      <w:pPr>
        <w:pStyle w:val="FootnoteText"/>
      </w:pPr>
      <w:r>
        <w:rPr>
          <w:rStyle w:val="FootnoteReference"/>
        </w:rPr>
        <w:footnoteRef/>
      </w:r>
      <w:r>
        <w:t xml:space="preserve"> </w:t>
      </w:r>
      <w:r w:rsidRPr="00F715A1">
        <w:t xml:space="preserve">Source </w:t>
      </w:r>
      <w:r w:rsidRPr="00F715A1">
        <w:rPr>
          <w:u w:val="single"/>
        </w:rPr>
        <w:t>Personal Finance</w:t>
      </w:r>
      <w:r w:rsidRPr="00F715A1">
        <w:t xml:space="preserve"> by </w:t>
      </w:r>
      <w:proofErr w:type="spellStart"/>
      <w:r w:rsidRPr="00F715A1">
        <w:t>Kapoor</w:t>
      </w:r>
      <w:proofErr w:type="spellEnd"/>
      <w:r w:rsidRPr="00F715A1">
        <w:t xml:space="preserve">, </w:t>
      </w:r>
      <w:proofErr w:type="spellStart"/>
      <w:r w:rsidRPr="00F715A1">
        <w:t>Dlabay</w:t>
      </w:r>
      <w:proofErr w:type="spellEnd"/>
      <w:r w:rsidRPr="00F715A1">
        <w:t>, and Hughes, Chapter 1</w:t>
      </w:r>
      <w:r>
        <w:t>2</w:t>
      </w:r>
      <w:r w:rsidRPr="00F715A1">
        <w:t>, p. 3</w:t>
      </w:r>
      <w:r>
        <w:t>92</w:t>
      </w:r>
      <w:r w:rsidRPr="00F715A1">
        <w:t>.</w:t>
      </w:r>
    </w:p>
  </w:footnote>
  <w:footnote w:id="15">
    <w:p w:rsidR="00250575" w:rsidRDefault="00250575" w:rsidP="00250575">
      <w:pPr>
        <w:pStyle w:val="FootnoteText"/>
      </w:pPr>
      <w:r>
        <w:rPr>
          <w:rStyle w:val="FootnoteReference"/>
        </w:rPr>
        <w:footnoteRef/>
      </w:r>
      <w:r>
        <w:t xml:space="preserve"> You may need more insurance if you have more than three children, above-average family debt, if any member of the family suffers from poor health, or if you spouse has poor employment potential.</w:t>
      </w:r>
    </w:p>
  </w:footnote>
  <w:footnote w:id="16">
    <w:p w:rsidR="00250575" w:rsidRDefault="00250575" w:rsidP="00250575">
      <w:pPr>
        <w:pStyle w:val="FootnoteText"/>
      </w:pPr>
      <w:r>
        <w:rPr>
          <w:rStyle w:val="FootnoteReference"/>
        </w:rPr>
        <w:footnoteRef/>
      </w:r>
      <w:r>
        <w:t xml:space="preserve"> There are also many online calculators that are more specific, for example:</w:t>
      </w:r>
    </w:p>
    <w:p w:rsidR="00250575" w:rsidRDefault="00250575" w:rsidP="00250575">
      <w:pPr>
        <w:pStyle w:val="FootnoteText"/>
      </w:pPr>
      <w:r>
        <w:t>http://www.lifehappens.org/life-insurance-needs-calculator/</w:t>
      </w:r>
    </w:p>
  </w:footnote>
  <w:footnote w:id="17">
    <w:p w:rsidR="00250575" w:rsidRDefault="00250575" w:rsidP="00250575">
      <w:pPr>
        <w:pStyle w:val="FootnoteText"/>
      </w:pPr>
      <w:r>
        <w:rPr>
          <w:rStyle w:val="FootnoteReference"/>
        </w:rPr>
        <w:footnoteRef/>
      </w:r>
      <w:r>
        <w:t xml:space="preserve"> At a higher premium, consider this if you want cash-value life insurance and expect to afford it in the future. </w:t>
      </w:r>
    </w:p>
  </w:footnote>
  <w:footnote w:id="18">
    <w:p w:rsidR="00250575" w:rsidRDefault="00250575" w:rsidP="00250575">
      <w:pPr>
        <w:pStyle w:val="FootnoteText"/>
      </w:pPr>
      <w:r>
        <w:rPr>
          <w:rStyle w:val="FootnoteReference"/>
        </w:rPr>
        <w:footnoteRef/>
      </w:r>
      <w:r>
        <w:t xml:space="preserve"> Represent nonparticipating policies (premium stays the same each year)</w:t>
      </w:r>
    </w:p>
  </w:footnote>
  <w:footnote w:id="19">
    <w:p w:rsidR="00250575" w:rsidRDefault="00250575" w:rsidP="00250575">
      <w:pPr>
        <w:pStyle w:val="FootnoteText"/>
      </w:pPr>
      <w:r>
        <w:rPr>
          <w:rStyle w:val="FootnoteReference"/>
        </w:rPr>
        <w:footnoteRef/>
      </w:r>
      <w:r>
        <w:t xml:space="preserve"> Represent participating policies, the premium reflects the health of the policyholders, operating costs, and investment returns, part of the premium is refunded to the policy holders annually.</w:t>
      </w:r>
    </w:p>
  </w:footnote>
  <w:footnote w:id="20">
    <w:p w:rsidR="00250575" w:rsidRDefault="00250575" w:rsidP="00250575">
      <w:pPr>
        <w:pStyle w:val="FootnoteText"/>
      </w:pPr>
      <w:r>
        <w:rPr>
          <w:rStyle w:val="FootnoteReference"/>
        </w:rPr>
        <w:footnoteRef/>
      </w:r>
      <w:r>
        <w:t xml:space="preserve"> </w:t>
      </w:r>
      <w:r w:rsidRPr="005906CE">
        <w:t>http://www.thestreet.com/insurers/</w:t>
      </w:r>
    </w:p>
  </w:footnote>
  <w:footnote w:id="21">
    <w:p w:rsidR="00250575" w:rsidRDefault="00250575" w:rsidP="00250575">
      <w:pPr>
        <w:pStyle w:val="FootnoteText"/>
      </w:pPr>
      <w:r>
        <w:rPr>
          <w:rStyle w:val="FootnoteReference"/>
        </w:rPr>
        <w:footnoteRef/>
      </w:r>
      <w:r>
        <w:t xml:space="preserve"> See for example: </w:t>
      </w:r>
      <w:r w:rsidRPr="005906CE">
        <w:t>http://www.standardandpoors.com/ratings/insurance/en/us/</w:t>
      </w:r>
      <w:r>
        <w:t xml:space="preserve"> and www.ambest.com</w:t>
      </w:r>
    </w:p>
  </w:footnote>
  <w:footnote w:id="22">
    <w:p w:rsidR="00250575" w:rsidRDefault="00250575" w:rsidP="00250575">
      <w:pPr>
        <w:pStyle w:val="FootnoteText"/>
      </w:pPr>
      <w:r>
        <w:rPr>
          <w:rStyle w:val="FootnoteReference"/>
        </w:rPr>
        <w:footnoteRef/>
      </w:r>
      <w:r>
        <w:t xml:space="preserve"> </w:t>
      </w:r>
      <w:r w:rsidRPr="003869F5">
        <w:t>http://www.investorwords.com/4515/settlement_options.html</w:t>
      </w:r>
    </w:p>
  </w:footnote>
  <w:footnote w:id="23">
    <w:p w:rsidR="00250575" w:rsidRDefault="00250575" w:rsidP="00250575">
      <w:pPr>
        <w:pStyle w:val="FootnoteText"/>
      </w:pPr>
      <w:r>
        <w:rPr>
          <w:rStyle w:val="FootnoteReference"/>
        </w:rPr>
        <w:footnoteRef/>
      </w:r>
      <w:r>
        <w:t xml:space="preserve"> The first three are self-</w:t>
      </w:r>
      <w:proofErr w:type="gramStart"/>
      <w:r>
        <w:t>explanatory,</w:t>
      </w:r>
      <w:proofErr w:type="gramEnd"/>
      <w:r>
        <w:t xml:space="preserve"> with the fourth the life insurance company pays a specified rate of interest to the beneficiary.</w:t>
      </w:r>
    </w:p>
  </w:footnote>
  <w:footnote w:id="24">
    <w:p w:rsidR="00250575" w:rsidRDefault="00250575" w:rsidP="00250575">
      <w:pPr>
        <w:pStyle w:val="FootnoteText"/>
      </w:pPr>
      <w:r>
        <w:rPr>
          <w:rStyle w:val="FootnoteReference"/>
        </w:rPr>
        <w:footnoteRef/>
      </w:r>
      <w:r>
        <w:t xml:space="preserve"> </w:t>
      </w:r>
      <w:r w:rsidRPr="00F715A1">
        <w:t xml:space="preserve">Source </w:t>
      </w:r>
      <w:r w:rsidRPr="00F715A1">
        <w:rPr>
          <w:u w:val="single"/>
        </w:rPr>
        <w:t>Personal Finance</w:t>
      </w:r>
      <w:r w:rsidRPr="00F715A1">
        <w:t xml:space="preserve"> by </w:t>
      </w:r>
      <w:proofErr w:type="spellStart"/>
      <w:r w:rsidRPr="00F715A1">
        <w:t>Kapoor</w:t>
      </w:r>
      <w:proofErr w:type="spellEnd"/>
      <w:r w:rsidRPr="00F715A1">
        <w:t xml:space="preserve">, </w:t>
      </w:r>
      <w:proofErr w:type="spellStart"/>
      <w:r w:rsidRPr="00F715A1">
        <w:t>Dlabay</w:t>
      </w:r>
      <w:proofErr w:type="spellEnd"/>
      <w:r w:rsidRPr="00F715A1">
        <w:t>, and Hughes, Chapter 1</w:t>
      </w:r>
      <w:r>
        <w:t>2</w:t>
      </w:r>
      <w:r w:rsidRPr="00F715A1">
        <w:t xml:space="preserve">, p. </w:t>
      </w:r>
      <w:r>
        <w:t>415</w:t>
      </w:r>
      <w:r w:rsidRPr="00F715A1">
        <w:t>.</w:t>
      </w:r>
    </w:p>
  </w:footnote>
  <w:footnote w:id="25">
    <w:p w:rsidR="00250575" w:rsidRDefault="00250575" w:rsidP="00250575">
      <w:pPr>
        <w:pStyle w:val="FootnoteText"/>
      </w:pPr>
      <w:r>
        <w:rPr>
          <w:rStyle w:val="FootnoteReference"/>
        </w:rPr>
        <w:footnoteRef/>
      </w:r>
      <w:r>
        <w:t xml:space="preserve"> Charges for variable annuities include: surrender charges, mortality and expense risk charges, administrative fees, underlying fund expenses, and fees and charges for other features.  Be sure to read the fine print, these will reduce the value of your account and the return on your investment.</w:t>
      </w:r>
    </w:p>
  </w:footnote>
  <w:footnote w:id="26">
    <w:p w:rsidR="00250575" w:rsidRDefault="00250575" w:rsidP="00250575">
      <w:pPr>
        <w:pStyle w:val="FootnoteText"/>
      </w:pPr>
      <w:r>
        <w:rPr>
          <w:rStyle w:val="FootnoteReference"/>
        </w:rPr>
        <w:footnoteRef/>
      </w:r>
      <w:r>
        <w:t xml:space="preserve"> </w:t>
      </w:r>
      <w:r w:rsidRPr="003869F5">
        <w:t xml:space="preserve">A </w:t>
      </w:r>
      <w:r>
        <w:t xml:space="preserve">Keoghs is a </w:t>
      </w:r>
      <w:r w:rsidRPr="003869F5">
        <w:t>tax deferred pension plan available to self-employed individuals or unincorporated businesses for retirement purposes</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33C6"/>
    <w:multiLevelType w:val="hybridMultilevel"/>
    <w:tmpl w:val="8C2A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451416"/>
    <w:multiLevelType w:val="hybridMultilevel"/>
    <w:tmpl w:val="772C70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EA1"/>
    <w:rsid w:val="0006049B"/>
    <w:rsid w:val="0009401D"/>
    <w:rsid w:val="000A716C"/>
    <w:rsid w:val="000F6401"/>
    <w:rsid w:val="001411B0"/>
    <w:rsid w:val="001869B3"/>
    <w:rsid w:val="00250575"/>
    <w:rsid w:val="002E4E5C"/>
    <w:rsid w:val="00314632"/>
    <w:rsid w:val="003F02FF"/>
    <w:rsid w:val="00453A39"/>
    <w:rsid w:val="004E065E"/>
    <w:rsid w:val="006313FC"/>
    <w:rsid w:val="006A6D1E"/>
    <w:rsid w:val="006B45F6"/>
    <w:rsid w:val="00711D9A"/>
    <w:rsid w:val="00724CF4"/>
    <w:rsid w:val="00727E8E"/>
    <w:rsid w:val="00801A90"/>
    <w:rsid w:val="008332E1"/>
    <w:rsid w:val="008B5E8B"/>
    <w:rsid w:val="00947B96"/>
    <w:rsid w:val="0098581C"/>
    <w:rsid w:val="00990BDD"/>
    <w:rsid w:val="009B6919"/>
    <w:rsid w:val="009D671A"/>
    <w:rsid w:val="00A14026"/>
    <w:rsid w:val="00AB73BE"/>
    <w:rsid w:val="00B0252E"/>
    <w:rsid w:val="00B51F15"/>
    <w:rsid w:val="00B745D9"/>
    <w:rsid w:val="00B83CA6"/>
    <w:rsid w:val="00CB2E14"/>
    <w:rsid w:val="00CD652C"/>
    <w:rsid w:val="00DC42FE"/>
    <w:rsid w:val="00DD1689"/>
    <w:rsid w:val="00E02C8B"/>
    <w:rsid w:val="00E12C88"/>
    <w:rsid w:val="00E15567"/>
    <w:rsid w:val="00E742F7"/>
    <w:rsid w:val="00E84BDD"/>
    <w:rsid w:val="00F23C74"/>
    <w:rsid w:val="00F715A1"/>
    <w:rsid w:val="00FD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0BDD"/>
    <w:rPr>
      <w:sz w:val="20"/>
      <w:szCs w:val="20"/>
    </w:rPr>
  </w:style>
  <w:style w:type="character" w:customStyle="1" w:styleId="FootnoteTextChar">
    <w:name w:val="Footnote Text Char"/>
    <w:basedOn w:val="DefaultParagraphFont"/>
    <w:link w:val="FootnoteText"/>
    <w:uiPriority w:val="99"/>
    <w:semiHidden/>
    <w:rsid w:val="00990BDD"/>
    <w:rPr>
      <w:sz w:val="20"/>
      <w:szCs w:val="20"/>
    </w:rPr>
  </w:style>
  <w:style w:type="character" w:styleId="FootnoteReference">
    <w:name w:val="footnote reference"/>
    <w:basedOn w:val="DefaultParagraphFont"/>
    <w:uiPriority w:val="99"/>
    <w:semiHidden/>
    <w:unhideWhenUsed/>
    <w:rsid w:val="00990BDD"/>
    <w:rPr>
      <w:vertAlign w:val="superscript"/>
    </w:rPr>
  </w:style>
  <w:style w:type="paragraph" w:styleId="ListParagraph">
    <w:name w:val="List Paragraph"/>
    <w:basedOn w:val="Normal"/>
    <w:uiPriority w:val="34"/>
    <w:qFormat/>
    <w:rsid w:val="008332E1"/>
    <w:pPr>
      <w:ind w:left="720"/>
      <w:contextualSpacing/>
    </w:pPr>
  </w:style>
  <w:style w:type="character" w:styleId="Hyperlink">
    <w:name w:val="Hyperlink"/>
    <w:basedOn w:val="DefaultParagraphFont"/>
    <w:uiPriority w:val="99"/>
    <w:semiHidden/>
    <w:unhideWhenUsed/>
    <w:rsid w:val="00DC42FE"/>
    <w:rPr>
      <w:color w:val="0000FF"/>
      <w:u w:val="single"/>
    </w:rPr>
  </w:style>
  <w:style w:type="table" w:styleId="TableGrid">
    <w:name w:val="Table Grid"/>
    <w:basedOn w:val="TableNormal"/>
    <w:uiPriority w:val="59"/>
    <w:rsid w:val="00B0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0575"/>
    <w:rPr>
      <w:rFonts w:ascii="Tahoma" w:hAnsi="Tahoma" w:cs="Tahoma"/>
      <w:sz w:val="16"/>
      <w:szCs w:val="16"/>
    </w:rPr>
  </w:style>
  <w:style w:type="character" w:customStyle="1" w:styleId="BalloonTextChar">
    <w:name w:val="Balloon Text Char"/>
    <w:basedOn w:val="DefaultParagraphFont"/>
    <w:link w:val="BalloonText"/>
    <w:uiPriority w:val="99"/>
    <w:semiHidden/>
    <w:rsid w:val="00250575"/>
    <w:rPr>
      <w:rFonts w:ascii="Tahoma" w:hAnsi="Tahoma" w:cs="Tahoma"/>
      <w:sz w:val="16"/>
      <w:szCs w:val="16"/>
    </w:rPr>
  </w:style>
  <w:style w:type="paragraph" w:styleId="Header">
    <w:name w:val="header"/>
    <w:basedOn w:val="Normal"/>
    <w:link w:val="HeaderChar"/>
    <w:uiPriority w:val="99"/>
    <w:unhideWhenUsed/>
    <w:rsid w:val="00727E8E"/>
    <w:pPr>
      <w:tabs>
        <w:tab w:val="center" w:pos="4680"/>
        <w:tab w:val="right" w:pos="9360"/>
      </w:tabs>
    </w:pPr>
  </w:style>
  <w:style w:type="character" w:customStyle="1" w:styleId="HeaderChar">
    <w:name w:val="Header Char"/>
    <w:basedOn w:val="DefaultParagraphFont"/>
    <w:link w:val="Header"/>
    <w:uiPriority w:val="99"/>
    <w:rsid w:val="00727E8E"/>
  </w:style>
  <w:style w:type="paragraph" w:styleId="Footer">
    <w:name w:val="footer"/>
    <w:basedOn w:val="Normal"/>
    <w:link w:val="FooterChar"/>
    <w:uiPriority w:val="99"/>
    <w:unhideWhenUsed/>
    <w:rsid w:val="00727E8E"/>
    <w:pPr>
      <w:tabs>
        <w:tab w:val="center" w:pos="4680"/>
        <w:tab w:val="right" w:pos="9360"/>
      </w:tabs>
    </w:pPr>
  </w:style>
  <w:style w:type="character" w:customStyle="1" w:styleId="FooterChar">
    <w:name w:val="Footer Char"/>
    <w:basedOn w:val="DefaultParagraphFont"/>
    <w:link w:val="Footer"/>
    <w:uiPriority w:val="99"/>
    <w:rsid w:val="00727E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90BDD"/>
    <w:rPr>
      <w:sz w:val="20"/>
      <w:szCs w:val="20"/>
    </w:rPr>
  </w:style>
  <w:style w:type="character" w:customStyle="1" w:styleId="FootnoteTextChar">
    <w:name w:val="Footnote Text Char"/>
    <w:basedOn w:val="DefaultParagraphFont"/>
    <w:link w:val="FootnoteText"/>
    <w:uiPriority w:val="99"/>
    <w:semiHidden/>
    <w:rsid w:val="00990BDD"/>
    <w:rPr>
      <w:sz w:val="20"/>
      <w:szCs w:val="20"/>
    </w:rPr>
  </w:style>
  <w:style w:type="character" w:styleId="FootnoteReference">
    <w:name w:val="footnote reference"/>
    <w:basedOn w:val="DefaultParagraphFont"/>
    <w:uiPriority w:val="99"/>
    <w:semiHidden/>
    <w:unhideWhenUsed/>
    <w:rsid w:val="00990BDD"/>
    <w:rPr>
      <w:vertAlign w:val="superscript"/>
    </w:rPr>
  </w:style>
  <w:style w:type="paragraph" w:styleId="ListParagraph">
    <w:name w:val="List Paragraph"/>
    <w:basedOn w:val="Normal"/>
    <w:uiPriority w:val="34"/>
    <w:qFormat/>
    <w:rsid w:val="008332E1"/>
    <w:pPr>
      <w:ind w:left="720"/>
      <w:contextualSpacing/>
    </w:pPr>
  </w:style>
  <w:style w:type="character" w:styleId="Hyperlink">
    <w:name w:val="Hyperlink"/>
    <w:basedOn w:val="DefaultParagraphFont"/>
    <w:uiPriority w:val="99"/>
    <w:semiHidden/>
    <w:unhideWhenUsed/>
    <w:rsid w:val="00DC42FE"/>
    <w:rPr>
      <w:color w:val="0000FF"/>
      <w:u w:val="single"/>
    </w:rPr>
  </w:style>
  <w:style w:type="table" w:styleId="TableGrid">
    <w:name w:val="Table Grid"/>
    <w:basedOn w:val="TableNormal"/>
    <w:uiPriority w:val="59"/>
    <w:rsid w:val="00B0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0575"/>
    <w:rPr>
      <w:rFonts w:ascii="Tahoma" w:hAnsi="Tahoma" w:cs="Tahoma"/>
      <w:sz w:val="16"/>
      <w:szCs w:val="16"/>
    </w:rPr>
  </w:style>
  <w:style w:type="character" w:customStyle="1" w:styleId="BalloonTextChar">
    <w:name w:val="Balloon Text Char"/>
    <w:basedOn w:val="DefaultParagraphFont"/>
    <w:link w:val="BalloonText"/>
    <w:uiPriority w:val="99"/>
    <w:semiHidden/>
    <w:rsid w:val="00250575"/>
    <w:rPr>
      <w:rFonts w:ascii="Tahoma" w:hAnsi="Tahoma" w:cs="Tahoma"/>
      <w:sz w:val="16"/>
      <w:szCs w:val="16"/>
    </w:rPr>
  </w:style>
  <w:style w:type="paragraph" w:styleId="Header">
    <w:name w:val="header"/>
    <w:basedOn w:val="Normal"/>
    <w:link w:val="HeaderChar"/>
    <w:uiPriority w:val="99"/>
    <w:unhideWhenUsed/>
    <w:rsid w:val="00727E8E"/>
    <w:pPr>
      <w:tabs>
        <w:tab w:val="center" w:pos="4680"/>
        <w:tab w:val="right" w:pos="9360"/>
      </w:tabs>
    </w:pPr>
  </w:style>
  <w:style w:type="character" w:customStyle="1" w:styleId="HeaderChar">
    <w:name w:val="Header Char"/>
    <w:basedOn w:val="DefaultParagraphFont"/>
    <w:link w:val="Header"/>
    <w:uiPriority w:val="99"/>
    <w:rsid w:val="00727E8E"/>
  </w:style>
  <w:style w:type="paragraph" w:styleId="Footer">
    <w:name w:val="footer"/>
    <w:basedOn w:val="Normal"/>
    <w:link w:val="FooterChar"/>
    <w:uiPriority w:val="99"/>
    <w:unhideWhenUsed/>
    <w:rsid w:val="00727E8E"/>
    <w:pPr>
      <w:tabs>
        <w:tab w:val="center" w:pos="4680"/>
        <w:tab w:val="right" w:pos="9360"/>
      </w:tabs>
    </w:pPr>
  </w:style>
  <w:style w:type="character" w:customStyle="1" w:styleId="FooterChar">
    <w:name w:val="Footer Char"/>
    <w:basedOn w:val="DefaultParagraphFont"/>
    <w:link w:val="Footer"/>
    <w:uiPriority w:val="99"/>
    <w:rsid w:val="00727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DC2D6-ED3C-4373-A7F9-FCB319B7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4433</TotalTime>
  <Pages>6</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14989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2013-11-04T21:29:00Z</cp:lastPrinted>
  <dcterms:created xsi:type="dcterms:W3CDTF">2013-10-30T19:57:00Z</dcterms:created>
  <dcterms:modified xsi:type="dcterms:W3CDTF">2013-11-05T21:18:00Z</dcterms:modified>
</cp:coreProperties>
</file>