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4C71" w:rsidRPr="00AC5496" w:rsidRDefault="00247831" w:rsidP="00AC5496">
      <w:pPr>
        <w:jc w:val="center"/>
        <w:rPr>
          <w:b/>
          <w:caps/>
        </w:rPr>
      </w:pPr>
      <w:r>
        <w:rPr>
          <w:b/>
          <w:caps/>
        </w:rPr>
        <w:t xml:space="preserve">Mutual funds </w:t>
      </w:r>
      <w:r w:rsidR="00C21947">
        <w:rPr>
          <w:b/>
          <w:caps/>
        </w:rPr>
        <w:t>&amp;</w:t>
      </w:r>
      <w:r>
        <w:rPr>
          <w:b/>
          <w:caps/>
        </w:rPr>
        <w:t xml:space="preserve"> other investment companies</w:t>
      </w:r>
    </w:p>
    <w:p w:rsidR="0066436A" w:rsidRDefault="0066436A" w:rsidP="0066436A">
      <w:pPr>
        <w:jc w:val="both"/>
      </w:pPr>
      <w:r>
        <w:rPr>
          <w:b/>
        </w:rPr>
        <w:t xml:space="preserve">Investment Companies </w:t>
      </w:r>
      <w:r>
        <w:t xml:space="preserve">– pool money from individual investors (and institutions) and invest in a potentially wide range of securities or assets.  Under the Investment Company Act of 1940 there are two classifications for investment companies: </w:t>
      </w:r>
    </w:p>
    <w:p w:rsidR="0066436A" w:rsidRDefault="0066436A" w:rsidP="0066436A">
      <w:pPr>
        <w:ind w:left="720"/>
        <w:jc w:val="both"/>
      </w:pPr>
      <w:r w:rsidRPr="0066436A">
        <w:rPr>
          <w:i/>
        </w:rPr>
        <w:t>Unit Investment Trusts</w:t>
      </w:r>
      <w:r>
        <w:t xml:space="preserve"> -UITs are “</w:t>
      </w:r>
      <w:proofErr w:type="spellStart"/>
      <w:r>
        <w:t>unmanged</w:t>
      </w:r>
      <w:proofErr w:type="spellEnd"/>
      <w:r>
        <w:t>” the portfolio is fixed for the life of the fund.  ETFs fall under the category of unit investment trusts.</w:t>
      </w:r>
    </w:p>
    <w:p w:rsidR="0066436A" w:rsidRPr="0066436A" w:rsidRDefault="0066436A" w:rsidP="0066436A">
      <w:pPr>
        <w:ind w:left="720"/>
        <w:jc w:val="both"/>
      </w:pPr>
      <w:r w:rsidRPr="0066436A">
        <w:rPr>
          <w:i/>
        </w:rPr>
        <w:t>Managed Investment Companies</w:t>
      </w:r>
      <w:r>
        <w:t xml:space="preserve"> – can be either </w:t>
      </w:r>
      <w:r w:rsidRPr="0066436A">
        <w:rPr>
          <w:i/>
        </w:rPr>
        <w:t>closed-end funds</w:t>
      </w:r>
      <w:r>
        <w:t xml:space="preserve"> (which trade on an exchange) or </w:t>
      </w:r>
      <w:r w:rsidRPr="0066436A">
        <w:rPr>
          <w:i/>
        </w:rPr>
        <w:t>open-end funds</w:t>
      </w:r>
      <w:r>
        <w:t xml:space="preserve"> (which issues or redeems shares at net asset value).  Mutual funds describe “open-end funds.”</w:t>
      </w:r>
    </w:p>
    <w:p w:rsidR="0066436A" w:rsidRPr="00E8236F" w:rsidRDefault="0066436A">
      <w:pPr>
        <w:rPr>
          <w:b/>
          <w:sz w:val="12"/>
          <w:szCs w:val="12"/>
        </w:rPr>
      </w:pPr>
    </w:p>
    <w:p w:rsidR="00E97952" w:rsidRPr="00247831" w:rsidRDefault="0066436A" w:rsidP="00E97952">
      <w:pPr>
        <w:jc w:val="both"/>
      </w:pPr>
      <w:r>
        <w:rPr>
          <w:b/>
        </w:rPr>
        <w:t>Exchange-Traded Funds (</w:t>
      </w:r>
      <w:r w:rsidR="00247831" w:rsidRPr="00424AA9">
        <w:rPr>
          <w:b/>
        </w:rPr>
        <w:t>ETFs</w:t>
      </w:r>
      <w:r>
        <w:rPr>
          <w:b/>
        </w:rPr>
        <w:t>)</w:t>
      </w:r>
      <w:r w:rsidR="00E8236F">
        <w:rPr>
          <w:rStyle w:val="FootnoteReference"/>
          <w:b/>
        </w:rPr>
        <w:footnoteReference w:id="1"/>
      </w:r>
      <w:r w:rsidR="00247831" w:rsidRPr="00424AA9">
        <w:rPr>
          <w:b/>
        </w:rPr>
        <w:t xml:space="preserve"> </w:t>
      </w:r>
      <w:r w:rsidR="00E97952">
        <w:rPr>
          <w:b/>
        </w:rPr>
        <w:t>–</w:t>
      </w:r>
      <w:r>
        <w:rPr>
          <w:b/>
        </w:rPr>
        <w:t xml:space="preserve"> </w:t>
      </w:r>
      <w:r w:rsidR="00E97952" w:rsidRPr="00E97952">
        <w:t>ETFs are typically registered investment companies whose shares represent an in</w:t>
      </w:r>
      <w:bookmarkStart w:id="0" w:name="_GoBack"/>
      <w:bookmarkEnd w:id="0"/>
      <w:r w:rsidR="00E97952" w:rsidRPr="00E97952">
        <w:t>terest in a portfolio of securities that track an underlying benchmark or index. (Some ETFs that invest in commodities, currencies, or commodity- or currency-based instruments are not registered as investment companies.) Unlike traditional mutual funds, shares of ETFs typically trade throughout the day on a securities exchange at prices established by the market.</w:t>
      </w:r>
      <w:r w:rsidR="000A7672">
        <w:rPr>
          <w:rStyle w:val="FootnoteReference"/>
        </w:rPr>
        <w:footnoteReference w:id="2"/>
      </w:r>
    </w:p>
    <w:p w:rsidR="00247831" w:rsidRDefault="00247831" w:rsidP="00AB3388">
      <w:pPr>
        <w:jc w:val="both"/>
      </w:pPr>
      <w:r>
        <w:t>ETFs’ sponsors and products</w:t>
      </w:r>
      <w:r>
        <w:rPr>
          <w:rStyle w:val="FootnoteReference"/>
        </w:rPr>
        <w:footnoteReference w:id="3"/>
      </w:r>
      <w:r w:rsidR="00E97952">
        <w:t xml:space="preserve"> include</w:t>
      </w:r>
      <w:r>
        <w:t xml:space="preserve">: </w:t>
      </w:r>
    </w:p>
    <w:p w:rsidR="00424AA9" w:rsidRDefault="00247831" w:rsidP="00424AA9">
      <w:pPr>
        <w:pStyle w:val="ListParagraph"/>
        <w:numPr>
          <w:ilvl w:val="0"/>
          <w:numId w:val="5"/>
        </w:numPr>
        <w:jc w:val="both"/>
      </w:pPr>
      <w:r>
        <w:t xml:space="preserve">Barclays Global Investors – </w:t>
      </w:r>
      <w:proofErr w:type="spellStart"/>
      <w:r>
        <w:t>i</w:t>
      </w:r>
      <w:proofErr w:type="spellEnd"/>
      <w:r>
        <w:t>-Shares</w:t>
      </w:r>
    </w:p>
    <w:p w:rsidR="00247831" w:rsidRDefault="00247831" w:rsidP="00247831">
      <w:pPr>
        <w:pStyle w:val="ListParagraph"/>
        <w:numPr>
          <w:ilvl w:val="0"/>
          <w:numId w:val="5"/>
        </w:numPr>
        <w:jc w:val="both"/>
      </w:pPr>
      <w:proofErr w:type="spellStart"/>
      <w:r>
        <w:t>Merill</w:t>
      </w:r>
      <w:proofErr w:type="spellEnd"/>
      <w:r>
        <w:t xml:space="preserve"> Lynch</w:t>
      </w:r>
      <w:r w:rsidR="00424AA9">
        <w:t xml:space="preserve"> – HOLDRS (Holding Company Depository Receipts: “Holders”)</w:t>
      </w:r>
    </w:p>
    <w:p w:rsidR="00247831" w:rsidRDefault="00247831" w:rsidP="00247831">
      <w:pPr>
        <w:pStyle w:val="ListParagraph"/>
        <w:numPr>
          <w:ilvl w:val="0"/>
          <w:numId w:val="5"/>
        </w:numPr>
        <w:jc w:val="both"/>
      </w:pPr>
      <w:r>
        <w:t>State Street/</w:t>
      </w:r>
      <w:proofErr w:type="spellStart"/>
      <w:r>
        <w:t>Merill</w:t>
      </w:r>
      <w:proofErr w:type="spellEnd"/>
      <w:r>
        <w:t xml:space="preserve"> Lynch</w:t>
      </w:r>
      <w:r w:rsidR="00424AA9">
        <w:t xml:space="preserve"> – Select Sectors SPDRs (S&amp;P Depository Receipts: “Spiders”)</w:t>
      </w:r>
    </w:p>
    <w:p w:rsidR="000A7672" w:rsidRPr="00E8236F" w:rsidRDefault="00247831" w:rsidP="000A7672">
      <w:pPr>
        <w:pStyle w:val="ListParagraph"/>
        <w:numPr>
          <w:ilvl w:val="0"/>
          <w:numId w:val="5"/>
        </w:numPr>
        <w:jc w:val="both"/>
      </w:pPr>
      <w:r>
        <w:t>Vanguard</w:t>
      </w:r>
      <w:r w:rsidR="00424AA9">
        <w:t xml:space="preserve"> – Vanguard ETFs</w:t>
      </w:r>
    </w:p>
    <w:p w:rsidR="000A7672" w:rsidRDefault="000A7672" w:rsidP="000A7672">
      <w:pPr>
        <w:jc w:val="both"/>
      </w:pPr>
      <w:r w:rsidRPr="00F501CA">
        <w:rPr>
          <w:i/>
        </w:rPr>
        <w:t>Note</w:t>
      </w:r>
      <w:r>
        <w:t>: While traditional ETFs track an index, more exotic versions also exist.  If you are considering these products, make sure that you understand both the costs associated with the product and the potential risks.</w:t>
      </w:r>
      <w:r w:rsidR="00F501CA">
        <w:rPr>
          <w:rStyle w:val="FootnoteReference"/>
        </w:rPr>
        <w:footnoteReference w:id="4"/>
      </w:r>
      <w:r>
        <w:t xml:space="preserve"> </w:t>
      </w:r>
    </w:p>
    <w:p w:rsidR="00424AA9" w:rsidRPr="00E8236F" w:rsidRDefault="00424AA9" w:rsidP="00424AA9">
      <w:pPr>
        <w:jc w:val="both"/>
        <w:rPr>
          <w:sz w:val="12"/>
          <w:szCs w:val="12"/>
        </w:rPr>
      </w:pPr>
    </w:p>
    <w:p w:rsidR="00424AA9" w:rsidRDefault="00424AA9" w:rsidP="00424AA9">
      <w:pPr>
        <w:jc w:val="both"/>
      </w:pPr>
      <w:r w:rsidRPr="00424AA9">
        <w:rPr>
          <w:b/>
        </w:rPr>
        <w:t>Closed-End Funds</w:t>
      </w:r>
      <w:r>
        <w:t>: a</w:t>
      </w:r>
      <w:r w:rsidRPr="00424AA9">
        <w:t xml:space="preserve"> closed-end fund is a publicly traded investment company that raises a fixed amount of capital through an initial public offering (IPO). The fund is then structured, listed and traded like a stock on a stock exchange</w:t>
      </w:r>
      <w:r>
        <w:rPr>
          <w:rStyle w:val="FootnoteReference"/>
        </w:rPr>
        <w:footnoteReference w:id="5"/>
      </w:r>
      <w:r w:rsidRPr="00424AA9">
        <w:t>.</w:t>
      </w:r>
      <w:r>
        <w:t xml:space="preserve"> </w:t>
      </w:r>
      <w:r w:rsidR="00F501CA">
        <w:t xml:space="preserve"> A c</w:t>
      </w:r>
      <w:r>
        <w:t>losed-end fund represents an interest in a specialized portfolio of securities that is actively managed by an investment advisor and which typically concentrates on a specific industry, geographic market, or sector. The stock prices of a closed-end fund fluctuate according to market forces (supply and demand) as well as the changing values of the securities in the fund's holdings</w:t>
      </w:r>
      <w:r w:rsidR="00F501CA">
        <w:t>.</w:t>
      </w:r>
      <w:r>
        <w:rPr>
          <w:rStyle w:val="FootnoteReference"/>
        </w:rPr>
        <w:footnoteReference w:id="6"/>
      </w:r>
    </w:p>
    <w:p w:rsidR="00424AA9" w:rsidRPr="00E8236F" w:rsidRDefault="00424AA9" w:rsidP="00424AA9">
      <w:pPr>
        <w:jc w:val="both"/>
        <w:rPr>
          <w:sz w:val="12"/>
          <w:szCs w:val="12"/>
        </w:rPr>
      </w:pPr>
    </w:p>
    <w:p w:rsidR="00EE7062" w:rsidRDefault="00424AA9" w:rsidP="00424AA9">
      <w:pPr>
        <w:jc w:val="both"/>
      </w:pPr>
      <w:r w:rsidRPr="00424AA9">
        <w:rPr>
          <w:b/>
        </w:rPr>
        <w:t>Mutual Funds</w:t>
      </w:r>
      <w:r>
        <w:t>: a</w:t>
      </w:r>
      <w:r w:rsidRPr="00424AA9">
        <w:t xml:space="preserve"> mutual fund is a company that brings together money from many people and invests it in stocks, bonds or other assets. The combined holdings of stocks, bonds or other assets the fund owns are known as its portfolio. </w:t>
      </w:r>
      <w:r w:rsidR="009B00CF">
        <w:t>Each mutual fund has a specified investment policy, which is described in the fund’s prospectus.  Investors in the fund own</w:t>
      </w:r>
      <w:r w:rsidRPr="00424AA9">
        <w:t xml:space="preserve"> shares, which represent a part of these holdings</w:t>
      </w:r>
      <w:r w:rsidR="00F501CA">
        <w:t>.</w:t>
      </w:r>
      <w:r>
        <w:rPr>
          <w:rStyle w:val="FootnoteReference"/>
        </w:rPr>
        <w:footnoteReference w:id="7"/>
      </w:r>
      <w:r w:rsidR="00F501CA">
        <w:t xml:space="preserve"> </w:t>
      </w:r>
    </w:p>
    <w:p w:rsidR="00EE7062" w:rsidRPr="00F501CA" w:rsidRDefault="00F501CA" w:rsidP="00424AA9">
      <w:pPr>
        <w:jc w:val="both"/>
      </w:pPr>
      <w:r w:rsidRPr="00F501CA">
        <w:rPr>
          <w:b/>
        </w:rPr>
        <w:lastRenderedPageBreak/>
        <w:t>Net Asset Value</w:t>
      </w:r>
      <w:r>
        <w:rPr>
          <w:b/>
        </w:rPr>
        <w:t xml:space="preserve"> (NAV) –</w:t>
      </w:r>
      <w:r>
        <w:t xml:space="preserve"> represents assets minus liabilities on a per-share basis.  Mutual funds trade once daily based on NAV, while closed-end fund prices may differ from the fund’s NAV.  </w:t>
      </w:r>
    </w:p>
    <w:p w:rsidR="00F501CA" w:rsidRPr="00794E51" w:rsidRDefault="00F501CA" w:rsidP="00424AA9">
      <w:pPr>
        <w:jc w:val="both"/>
        <w:rPr>
          <w:sz w:val="12"/>
          <w:szCs w:val="12"/>
        </w:rPr>
      </w:pPr>
    </w:p>
    <w:p w:rsidR="00F501CA" w:rsidRDefault="00F501CA" w:rsidP="00424AA9">
      <w:pPr>
        <w:jc w:val="both"/>
      </w:pPr>
      <w:r w:rsidRPr="00F501CA">
        <w:rPr>
          <w:position w:val="-30"/>
        </w:rPr>
        <w:object w:dxaOrig="520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0.25pt;height:36pt" o:ole="">
            <v:imagedata r:id="rId9" o:title=""/>
          </v:shape>
          <o:OLEObject Type="Embed" ProgID="Equation.DSMT4" ShapeID="_x0000_i1025" DrawAspect="Content" ObjectID="_1444491355" r:id="rId10"/>
        </w:object>
      </w:r>
    </w:p>
    <w:p w:rsidR="00F501CA" w:rsidRPr="00C21947" w:rsidRDefault="00F501CA" w:rsidP="00424AA9">
      <w:pPr>
        <w:jc w:val="both"/>
        <w:rPr>
          <w:sz w:val="12"/>
          <w:szCs w:val="12"/>
        </w:rPr>
      </w:pPr>
    </w:p>
    <w:p w:rsidR="00F501CA" w:rsidRPr="00F501CA" w:rsidRDefault="00F501CA" w:rsidP="00424AA9">
      <w:pPr>
        <w:jc w:val="both"/>
        <w:rPr>
          <w:i/>
        </w:rPr>
      </w:pPr>
      <w:r w:rsidRPr="00F501CA">
        <w:rPr>
          <w:i/>
        </w:rPr>
        <w:t>Example</w:t>
      </w:r>
      <w:r w:rsidRPr="00F501CA">
        <w:rPr>
          <w:rStyle w:val="FootnoteReference"/>
          <w:i/>
        </w:rPr>
        <w:footnoteReference w:id="8"/>
      </w:r>
    </w:p>
    <w:p w:rsidR="00F501CA" w:rsidRDefault="00F501CA" w:rsidP="00424AA9">
      <w:pPr>
        <w:jc w:val="both"/>
      </w:pPr>
      <w:r>
        <w:t xml:space="preserve">Suppose a mutual fund manages a portfolio of securities worth $120M and the </w:t>
      </w:r>
      <w:proofErr w:type="spellStart"/>
      <w:r>
        <w:t>fudn</w:t>
      </w:r>
      <w:proofErr w:type="spellEnd"/>
      <w:r>
        <w:t xml:space="preserve"> owes $4M to its investment advisors </w:t>
      </w:r>
      <w:r w:rsidR="009B00CF">
        <w:t xml:space="preserve">and $1M for rent, wages, and </w:t>
      </w:r>
      <w:proofErr w:type="spellStart"/>
      <w:r w:rsidR="009B00CF">
        <w:t>misc</w:t>
      </w:r>
      <w:proofErr w:type="spellEnd"/>
      <w:r w:rsidR="009B00CF">
        <w:t xml:space="preserve"> expenses.  If the fund has 5M shares outstanding then NAV = $23/share.</w:t>
      </w:r>
    </w:p>
    <w:p w:rsidR="00F501CA" w:rsidRPr="00794E51" w:rsidRDefault="00F501CA" w:rsidP="00424AA9">
      <w:pPr>
        <w:jc w:val="both"/>
        <w:rPr>
          <w:sz w:val="12"/>
          <w:szCs w:val="12"/>
        </w:rPr>
      </w:pPr>
    </w:p>
    <w:p w:rsidR="00C5284C" w:rsidRDefault="009B00CF" w:rsidP="009B00CF">
      <w:pPr>
        <w:jc w:val="both"/>
      </w:pPr>
      <w:r w:rsidRPr="009B00CF">
        <w:rPr>
          <w:position w:val="-24"/>
        </w:rPr>
        <w:object w:dxaOrig="5040" w:dyaOrig="660">
          <v:shape id="_x0000_i1026" type="#_x0000_t75" style="width:252pt;height:33pt" o:ole="">
            <v:imagedata r:id="rId11" o:title=""/>
          </v:shape>
          <o:OLEObject Type="Embed" ProgID="Equation.DSMT4" ShapeID="_x0000_i1026" DrawAspect="Content" ObjectID="_1444491356" r:id="rId12"/>
        </w:object>
      </w:r>
    </w:p>
    <w:p w:rsidR="009B00CF" w:rsidRPr="00C21947" w:rsidRDefault="009B00CF" w:rsidP="009B00CF">
      <w:pPr>
        <w:jc w:val="both"/>
        <w:rPr>
          <w:sz w:val="12"/>
          <w:szCs w:val="12"/>
        </w:rPr>
      </w:pPr>
    </w:p>
    <w:p w:rsidR="00C5284C" w:rsidRDefault="00C5284C" w:rsidP="00C5284C">
      <w:pPr>
        <w:jc w:val="both"/>
        <w:rPr>
          <w:b/>
        </w:rPr>
      </w:pPr>
      <w:r w:rsidRPr="00C5284C">
        <w:rPr>
          <w:b/>
        </w:rPr>
        <w:t>Investing in Mutual Funds</w:t>
      </w:r>
      <w:r w:rsidR="002B2189">
        <w:rPr>
          <w:b/>
        </w:rPr>
        <w:t xml:space="preserve"> (Costs</w:t>
      </w:r>
      <w:r w:rsidR="00D513D6">
        <w:rPr>
          <w:b/>
        </w:rPr>
        <w:t xml:space="preserve"> &amp; Share Class</w:t>
      </w:r>
      <w:r w:rsidR="002B2189">
        <w:rPr>
          <w:b/>
        </w:rPr>
        <w:t>)</w:t>
      </w:r>
    </w:p>
    <w:p w:rsidR="00D513D6" w:rsidRDefault="002B2189" w:rsidP="002B2189">
      <w:pPr>
        <w:jc w:val="both"/>
      </w:pPr>
      <w:r>
        <w:t>The costs of investing in mutual funds can be somewhat opaque to the average investor (</w:t>
      </w:r>
      <w:r w:rsidRPr="00D513D6">
        <w:rPr>
          <w:i/>
        </w:rPr>
        <w:t>I am glad you are reading this note</w:t>
      </w:r>
      <w:r>
        <w:t>)</w:t>
      </w:r>
      <w:r w:rsidR="00D513D6">
        <w:t xml:space="preserve"> since they are deducted from the assets of the fund</w:t>
      </w:r>
      <w:r>
        <w:t>.</w:t>
      </w:r>
      <w:r w:rsidR="00D513D6">
        <w:rPr>
          <w:rStyle w:val="FootnoteReference"/>
        </w:rPr>
        <w:footnoteReference w:id="9"/>
      </w:r>
      <w:r>
        <w:t xml:space="preserve"> </w:t>
      </w:r>
    </w:p>
    <w:p w:rsidR="00D513D6" w:rsidRPr="00C21947" w:rsidRDefault="00D513D6" w:rsidP="002B2189">
      <w:pPr>
        <w:jc w:val="both"/>
        <w:rPr>
          <w:sz w:val="12"/>
          <w:szCs w:val="12"/>
        </w:rPr>
      </w:pPr>
    </w:p>
    <w:p w:rsidR="00D513D6" w:rsidRDefault="00D513D6" w:rsidP="002B2189">
      <w:pPr>
        <w:jc w:val="both"/>
      </w:pPr>
      <w:r>
        <w:t>Many mutual fund offer different share classes:</w:t>
      </w:r>
    </w:p>
    <w:p w:rsidR="00D513D6" w:rsidRDefault="00D513D6" w:rsidP="00D513D6">
      <w:pPr>
        <w:jc w:val="both"/>
      </w:pPr>
      <w:r w:rsidRPr="00D513D6">
        <w:rPr>
          <w:b/>
        </w:rPr>
        <w:t xml:space="preserve">Class </w:t>
      </w:r>
      <w:proofErr w:type="gramStart"/>
      <w:r w:rsidRPr="00D513D6">
        <w:rPr>
          <w:b/>
        </w:rPr>
        <w:t>A Shares</w:t>
      </w:r>
      <w:proofErr w:type="gramEnd"/>
      <w:r>
        <w:t xml:space="preserve"> – typically have front-end loads and a small 12-b-1 fee.</w:t>
      </w:r>
    </w:p>
    <w:p w:rsidR="00D513D6" w:rsidRDefault="00D513D6" w:rsidP="00D513D6">
      <w:pPr>
        <w:jc w:val="both"/>
      </w:pPr>
      <w:r w:rsidRPr="00D513D6">
        <w:rPr>
          <w:b/>
        </w:rPr>
        <w:t>Class B Shares</w:t>
      </w:r>
      <w:r>
        <w:t xml:space="preserve"> – rely on larger 12b-1 fees and a back-end load, if the investor holds these shares for a predetermined length of time (typically 6-8 years) they convert to Class A.</w:t>
      </w:r>
    </w:p>
    <w:p w:rsidR="00D513D6" w:rsidRDefault="00D513D6" w:rsidP="00D513D6">
      <w:pPr>
        <w:jc w:val="both"/>
      </w:pPr>
      <w:r w:rsidRPr="00D513D6">
        <w:rPr>
          <w:b/>
        </w:rPr>
        <w:t>Class C Shares</w:t>
      </w:r>
      <w:r>
        <w:t xml:space="preserve"> – generally rely on 12b-1 fees and back-end loads, but these shares usually do not convert to Class A.</w:t>
      </w:r>
    </w:p>
    <w:p w:rsidR="00D513D6" w:rsidRDefault="00D513D6" w:rsidP="00D513D6">
      <w:pPr>
        <w:jc w:val="both"/>
        <w:rPr>
          <w:b/>
        </w:rPr>
      </w:pPr>
    </w:p>
    <w:p w:rsidR="002B2189" w:rsidRDefault="00C5284C" w:rsidP="00D513D6">
      <w:pPr>
        <w:jc w:val="both"/>
      </w:pPr>
      <w:r w:rsidRPr="002B2189">
        <w:rPr>
          <w:b/>
        </w:rPr>
        <w:t>Operating expenses</w:t>
      </w:r>
      <w:r w:rsidRPr="002B2189">
        <w:t>:</w:t>
      </w:r>
      <w:r w:rsidR="00BE3524">
        <w:t xml:space="preserve"> </w:t>
      </w:r>
      <w:r w:rsidR="002B2189">
        <w:t xml:space="preserve">include </w:t>
      </w:r>
      <w:r>
        <w:t>administrative expenses and advisory fees paid to the management</w:t>
      </w:r>
      <w:r w:rsidR="002B2189">
        <w:t>.</w:t>
      </w:r>
      <w:r>
        <w:t xml:space="preserve"> </w:t>
      </w:r>
      <w:r w:rsidR="002B2189">
        <w:t xml:space="preserve">  These </w:t>
      </w:r>
      <w:r>
        <w:t xml:space="preserve">may range from 0.2% to 2%. </w:t>
      </w:r>
    </w:p>
    <w:p w:rsidR="00C21947" w:rsidRPr="00C21947" w:rsidRDefault="00C21947" w:rsidP="00D513D6">
      <w:pPr>
        <w:jc w:val="both"/>
        <w:rPr>
          <w:b/>
          <w:sz w:val="12"/>
          <w:szCs w:val="12"/>
        </w:rPr>
      </w:pPr>
    </w:p>
    <w:p w:rsidR="00C5284C" w:rsidRDefault="00BE3524" w:rsidP="00D513D6">
      <w:pPr>
        <w:jc w:val="both"/>
      </w:pPr>
      <w:r w:rsidRPr="002B2189">
        <w:rPr>
          <w:b/>
        </w:rPr>
        <w:t>Loads</w:t>
      </w:r>
      <w:r w:rsidRPr="00BE3524">
        <w:t xml:space="preserve">: </w:t>
      </w:r>
      <w:r w:rsidR="002B2189">
        <w:t xml:space="preserve">represent </w:t>
      </w:r>
      <w:r w:rsidRPr="00BE3524">
        <w:t xml:space="preserve">a sales charge that an investor must pay to purchase certain </w:t>
      </w:r>
      <w:r w:rsidR="002B2189">
        <w:t>classes</w:t>
      </w:r>
      <w:r w:rsidRPr="00BE3524">
        <w:t xml:space="preserve"> of mutual fund shares. </w:t>
      </w:r>
      <w:r w:rsidRPr="002B2189">
        <w:rPr>
          <w:i/>
        </w:rPr>
        <w:t>Front-end loads</w:t>
      </w:r>
      <w:r w:rsidRPr="00BE3524">
        <w:t xml:space="preserve"> are charged when a fund is purchased and are essentially sales charges to pay the broker for selling the fund. </w:t>
      </w:r>
      <w:r w:rsidRPr="002B2189">
        <w:rPr>
          <w:i/>
        </w:rPr>
        <w:t>Back-end loads</w:t>
      </w:r>
      <w:r w:rsidRPr="00BE3524">
        <w:t xml:space="preserve"> are charged when an investor sells certain types of shares. Some funds use back-end loads to discourage investors from switching funds too often. Back-end loads are often given a sliding scale, which means that the longer you hold the shares, the smaller the back-end load. </w:t>
      </w:r>
      <w:r w:rsidRPr="002B2189">
        <w:rPr>
          <w:i/>
        </w:rPr>
        <w:t>No-load funds</w:t>
      </w:r>
      <w:r w:rsidRPr="00BE3524">
        <w:t xml:space="preserve"> do not charge a commission when funds are purchased or sold</w:t>
      </w:r>
      <w:r>
        <w:t>.</w:t>
      </w:r>
    </w:p>
    <w:p w:rsidR="00D513D6" w:rsidRPr="00C21947" w:rsidRDefault="00D513D6" w:rsidP="00D513D6">
      <w:pPr>
        <w:jc w:val="both"/>
        <w:rPr>
          <w:b/>
          <w:sz w:val="12"/>
          <w:szCs w:val="12"/>
        </w:rPr>
      </w:pPr>
    </w:p>
    <w:p w:rsidR="00BE3524" w:rsidRDefault="00BE3524" w:rsidP="00D513D6">
      <w:pPr>
        <w:jc w:val="both"/>
      </w:pPr>
      <w:r w:rsidRPr="002B2189">
        <w:rPr>
          <w:b/>
        </w:rPr>
        <w:t xml:space="preserve">12b-1 </w:t>
      </w:r>
      <w:r w:rsidR="002B2189">
        <w:rPr>
          <w:b/>
        </w:rPr>
        <w:t>fees</w:t>
      </w:r>
      <w:r>
        <w:t xml:space="preserve">: </w:t>
      </w:r>
      <w:r w:rsidR="00D513D6">
        <w:t xml:space="preserve">can range from 0.25% to a legal maximum of 1%, these fees </w:t>
      </w:r>
      <w:proofErr w:type="gramStart"/>
      <w:r w:rsidR="00D513D6">
        <w:t>are</w:t>
      </w:r>
      <w:proofErr w:type="gramEnd"/>
      <w:r w:rsidR="00D513D6">
        <w:t xml:space="preserve"> </w:t>
      </w:r>
      <w:r>
        <w:t xml:space="preserve">used </w:t>
      </w:r>
      <w:r w:rsidR="007F5A2B">
        <w:t xml:space="preserve">by managers </w:t>
      </w:r>
      <w:r>
        <w:t xml:space="preserve">to pay </w:t>
      </w:r>
      <w:r w:rsidR="007F5A2B">
        <w:t xml:space="preserve">for distribution costs such as advertising, promotional literature including annual reports </w:t>
      </w:r>
      <w:r w:rsidR="002B2189">
        <w:t>and prospectus, and commissions.</w:t>
      </w:r>
    </w:p>
    <w:p w:rsidR="00D513D6" w:rsidRPr="00C21947" w:rsidRDefault="00D513D6" w:rsidP="00D513D6">
      <w:pPr>
        <w:jc w:val="both"/>
        <w:rPr>
          <w:sz w:val="12"/>
          <w:szCs w:val="12"/>
          <w:u w:val="single"/>
        </w:rPr>
      </w:pPr>
    </w:p>
    <w:p w:rsidR="00424AA9" w:rsidRDefault="00AE6C00" w:rsidP="00C21947">
      <w:pPr>
        <w:jc w:val="both"/>
      </w:pPr>
      <w:r w:rsidRPr="00D513D6">
        <w:rPr>
          <w:b/>
        </w:rPr>
        <w:t>Soft dollars</w:t>
      </w:r>
      <w:r w:rsidRPr="00D513D6">
        <w:t>:</w:t>
      </w:r>
      <w:r>
        <w:t xml:space="preserve"> </w:t>
      </w:r>
      <w:r w:rsidR="00D513D6">
        <w:t>portfolio managers will direct some of the fund’s trades to a broker in exchange for research services.  Rather than paying for these services directly, the fund incurs trading commissions that are not reflected in reported expense ratios.</w:t>
      </w:r>
      <w:r w:rsidR="00BB76DC">
        <w:rPr>
          <w:rStyle w:val="FootnoteReference"/>
        </w:rPr>
        <w:footnoteReference w:id="10"/>
      </w:r>
    </w:p>
    <w:p w:rsidR="00C21947" w:rsidRPr="00C21947" w:rsidRDefault="00C21947" w:rsidP="00C21947">
      <w:pPr>
        <w:jc w:val="both"/>
        <w:rPr>
          <w:sz w:val="12"/>
          <w:szCs w:val="12"/>
        </w:rPr>
      </w:pPr>
    </w:p>
    <w:p w:rsidR="00C21947" w:rsidRPr="00C21947" w:rsidRDefault="00C21947" w:rsidP="00C21947">
      <w:pPr>
        <w:jc w:val="both"/>
        <w:rPr>
          <w:i/>
          <w:sz w:val="20"/>
          <w:szCs w:val="20"/>
        </w:rPr>
      </w:pPr>
      <w:r w:rsidRPr="00C21947">
        <w:rPr>
          <w:i/>
          <w:sz w:val="20"/>
          <w:szCs w:val="20"/>
        </w:rPr>
        <w:t xml:space="preserve">Graduate Assistant </w:t>
      </w:r>
      <w:proofErr w:type="spellStart"/>
      <w:r w:rsidRPr="00C21947">
        <w:rPr>
          <w:i/>
          <w:sz w:val="20"/>
          <w:szCs w:val="20"/>
        </w:rPr>
        <w:t>Kaoutar</w:t>
      </w:r>
      <w:proofErr w:type="spellEnd"/>
      <w:r w:rsidRPr="00C21947">
        <w:rPr>
          <w:i/>
          <w:sz w:val="20"/>
          <w:szCs w:val="20"/>
        </w:rPr>
        <w:t xml:space="preserve"> </w:t>
      </w:r>
      <w:proofErr w:type="spellStart"/>
      <w:r w:rsidRPr="00C21947">
        <w:rPr>
          <w:i/>
          <w:sz w:val="20"/>
          <w:szCs w:val="20"/>
        </w:rPr>
        <w:t>Houmairy</w:t>
      </w:r>
      <w:proofErr w:type="spellEnd"/>
      <w:r w:rsidRPr="00C21947">
        <w:rPr>
          <w:i/>
          <w:sz w:val="20"/>
          <w:szCs w:val="20"/>
        </w:rPr>
        <w:t>, Babson College contributed to the completion of this class note.</w:t>
      </w:r>
    </w:p>
    <w:sectPr w:rsidR="00C21947" w:rsidRPr="00C21947">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3979" w:rsidRDefault="00A53979" w:rsidP="00AE101D">
      <w:r>
        <w:separator/>
      </w:r>
    </w:p>
  </w:endnote>
  <w:endnote w:type="continuationSeparator" w:id="0">
    <w:p w:rsidR="00A53979" w:rsidRDefault="00A53979" w:rsidP="00AE1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5697830"/>
      <w:docPartObj>
        <w:docPartGallery w:val="Page Numbers (Bottom of Page)"/>
        <w:docPartUnique/>
      </w:docPartObj>
    </w:sdtPr>
    <w:sdtEndPr>
      <w:rPr>
        <w:noProof/>
      </w:rPr>
    </w:sdtEndPr>
    <w:sdtContent>
      <w:p w:rsidR="009D76CF" w:rsidRDefault="009D76CF">
        <w:pPr>
          <w:pStyle w:val="Footer"/>
          <w:jc w:val="right"/>
        </w:pPr>
        <w:r>
          <w:fldChar w:fldCharType="begin"/>
        </w:r>
        <w:r>
          <w:instrText xml:space="preserve"> PAGE   \* MERGEFORMAT </w:instrText>
        </w:r>
        <w:r>
          <w:fldChar w:fldCharType="separate"/>
        </w:r>
        <w:r w:rsidR="00F8048C">
          <w:rPr>
            <w:noProof/>
          </w:rPr>
          <w:t>2</w:t>
        </w:r>
        <w:r>
          <w:rPr>
            <w:noProof/>
          </w:rPr>
          <w:fldChar w:fldCharType="end"/>
        </w:r>
      </w:p>
    </w:sdtContent>
  </w:sdt>
  <w:p w:rsidR="009D76CF" w:rsidRDefault="009D76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3979" w:rsidRDefault="00A53979" w:rsidP="00AE101D">
      <w:r>
        <w:separator/>
      </w:r>
    </w:p>
  </w:footnote>
  <w:footnote w:type="continuationSeparator" w:id="0">
    <w:p w:rsidR="00A53979" w:rsidRDefault="00A53979" w:rsidP="00AE101D">
      <w:r>
        <w:continuationSeparator/>
      </w:r>
    </w:p>
  </w:footnote>
  <w:footnote w:id="1">
    <w:p w:rsidR="00E8236F" w:rsidRDefault="00E8236F" w:rsidP="00E8236F">
      <w:pPr>
        <w:pStyle w:val="FootnoteText"/>
      </w:pPr>
      <w:r>
        <w:rPr>
          <w:rStyle w:val="FootnoteReference"/>
        </w:rPr>
        <w:footnoteRef/>
      </w:r>
      <w:r>
        <w:t xml:space="preserve"> ETFs are </w:t>
      </w:r>
      <w:r>
        <w:t>classified as open-end companies</w:t>
      </w:r>
      <w:r>
        <w:t xml:space="preserve"> or</w:t>
      </w:r>
      <w:r>
        <w:t xml:space="preserve"> UITs, but </w:t>
      </w:r>
      <w:r>
        <w:t xml:space="preserve">key </w:t>
      </w:r>
      <w:proofErr w:type="gramStart"/>
      <w:r>
        <w:t>difference include</w:t>
      </w:r>
      <w:proofErr w:type="gramEnd"/>
      <w:r>
        <w:t xml:space="preserve">: </w:t>
      </w:r>
      <w:r>
        <w:t xml:space="preserve">1) </w:t>
      </w:r>
      <w:r>
        <w:t>ETFs only issue their sh</w:t>
      </w:r>
      <w:r>
        <w:t xml:space="preserve">ares in large blocks </w:t>
      </w:r>
      <w:r>
        <w:t>that are known as "Creation Units."</w:t>
      </w:r>
      <w:r>
        <w:t xml:space="preserve"> 2) Large institutional i</w:t>
      </w:r>
      <w:r>
        <w:t xml:space="preserve">nvestors </w:t>
      </w:r>
      <w:r>
        <w:t xml:space="preserve">purchase </w:t>
      </w:r>
      <w:r>
        <w:t>Creation Unit</w:t>
      </w:r>
      <w:r>
        <w:t>s</w:t>
      </w:r>
      <w:r>
        <w:t>, a</w:t>
      </w:r>
      <w:r>
        <w:t>nd often split</w:t>
      </w:r>
      <w:r>
        <w:t xml:space="preserve"> </w:t>
      </w:r>
      <w:r>
        <w:t>them up and sell</w:t>
      </w:r>
      <w:r>
        <w:t xml:space="preserve"> the individual shares on a secondary market</w:t>
      </w:r>
      <w:r>
        <w:t xml:space="preserve"> where</w:t>
      </w:r>
      <w:r>
        <w:t xml:space="preserve"> </w:t>
      </w:r>
      <w:r>
        <w:t>individual</w:t>
      </w:r>
      <w:r>
        <w:t xml:space="preserve"> investors </w:t>
      </w:r>
      <w:r>
        <w:t>can</w:t>
      </w:r>
      <w:r>
        <w:t xml:space="preserve"> purchase shares.</w:t>
      </w:r>
      <w:r>
        <w:t xml:space="preserve"> 3) </w:t>
      </w:r>
      <w:r>
        <w:t>Investors who want to sell t</w:t>
      </w:r>
      <w:r>
        <w:t>heir ETF shares can</w:t>
      </w:r>
      <w:r>
        <w:t xml:space="preserve">: (1) sell individual shares to other investors on the secondary market, or (2) sell the Creation Units back to the ETF. ETFs generally </w:t>
      </w:r>
      <w:r>
        <w:t>give</w:t>
      </w:r>
      <w:r>
        <w:t xml:space="preserve"> investors the securities </w:t>
      </w:r>
      <w:r>
        <w:t>instead of cash</w:t>
      </w:r>
      <w:r>
        <w:t>.</w:t>
      </w:r>
    </w:p>
  </w:footnote>
  <w:footnote w:id="2">
    <w:p w:rsidR="000A7672" w:rsidRDefault="000A7672">
      <w:pPr>
        <w:pStyle w:val="FootnoteText"/>
      </w:pPr>
      <w:r>
        <w:rPr>
          <w:rStyle w:val="FootnoteReference"/>
        </w:rPr>
        <w:footnoteRef/>
      </w:r>
      <w:r>
        <w:t xml:space="preserve"> </w:t>
      </w:r>
      <w:r w:rsidRPr="000A7672">
        <w:t>http://www.sec.gov/investor/pubs/leveragedetfs-alert.htm</w:t>
      </w:r>
    </w:p>
  </w:footnote>
  <w:footnote w:id="3">
    <w:p w:rsidR="00247831" w:rsidRDefault="00247831">
      <w:pPr>
        <w:pStyle w:val="FootnoteText"/>
      </w:pPr>
      <w:r>
        <w:rPr>
          <w:rStyle w:val="FootnoteReference"/>
        </w:rPr>
        <w:footnoteRef/>
      </w:r>
      <w:r>
        <w:t xml:space="preserve"> </w:t>
      </w:r>
      <w:r w:rsidR="00E97952">
        <w:t xml:space="preserve">See </w:t>
      </w:r>
      <w:r w:rsidR="00E97952" w:rsidRPr="008C5764">
        <w:rPr>
          <w:u w:val="single"/>
        </w:rPr>
        <w:t>Essentials of Investments</w:t>
      </w:r>
      <w:r w:rsidR="00E97952" w:rsidRPr="008C5764">
        <w:t xml:space="preserve">, 9th edition by </w:t>
      </w:r>
      <w:proofErr w:type="spellStart"/>
      <w:r w:rsidR="00E97952" w:rsidRPr="008C5764">
        <w:t>Zvi</w:t>
      </w:r>
      <w:proofErr w:type="spellEnd"/>
      <w:r w:rsidR="00E97952" w:rsidRPr="008C5764">
        <w:t xml:space="preserve"> </w:t>
      </w:r>
      <w:proofErr w:type="spellStart"/>
      <w:r w:rsidR="00E97952" w:rsidRPr="008C5764">
        <w:t>Bodie</w:t>
      </w:r>
      <w:proofErr w:type="spellEnd"/>
      <w:r w:rsidR="00E97952" w:rsidRPr="008C5764">
        <w:t xml:space="preserve">, Alex Kane, and Alan J. Marcus, Chapter </w:t>
      </w:r>
      <w:r w:rsidR="00E97952">
        <w:t>4</w:t>
      </w:r>
      <w:r w:rsidR="00E97952" w:rsidRPr="008C5764">
        <w:t>.</w:t>
      </w:r>
    </w:p>
  </w:footnote>
  <w:footnote w:id="4">
    <w:p w:rsidR="00F501CA" w:rsidRDefault="00F501CA">
      <w:pPr>
        <w:pStyle w:val="FootnoteText"/>
      </w:pPr>
      <w:r>
        <w:rPr>
          <w:rStyle w:val="FootnoteReference"/>
        </w:rPr>
        <w:footnoteRef/>
      </w:r>
      <w:r>
        <w:t xml:space="preserve"> See the following SEC Alert for an example </w:t>
      </w:r>
      <w:r w:rsidRPr="00F501CA">
        <w:t>http://www.sec.gov/investor/pubs/leveragedetfs-alert.htm</w:t>
      </w:r>
    </w:p>
  </w:footnote>
  <w:footnote w:id="5">
    <w:p w:rsidR="00424AA9" w:rsidRDefault="00424AA9">
      <w:pPr>
        <w:pStyle w:val="FootnoteText"/>
      </w:pPr>
      <w:r>
        <w:rPr>
          <w:rStyle w:val="FootnoteReference"/>
        </w:rPr>
        <w:footnoteRef/>
      </w:r>
      <w:r>
        <w:t xml:space="preserve"> See </w:t>
      </w:r>
      <w:r w:rsidR="00F501CA" w:rsidRPr="00F501CA">
        <w:t>http://www.investopedia.com/terms/c/closed-endinvestment.asp</w:t>
      </w:r>
    </w:p>
  </w:footnote>
  <w:footnote w:id="6">
    <w:p w:rsidR="00424AA9" w:rsidRDefault="00424AA9">
      <w:pPr>
        <w:pStyle w:val="FootnoteText"/>
      </w:pPr>
      <w:r>
        <w:rPr>
          <w:rStyle w:val="FootnoteReference"/>
        </w:rPr>
        <w:footnoteRef/>
      </w:r>
      <w:r>
        <w:t xml:space="preserve"> See </w:t>
      </w:r>
      <w:r w:rsidR="00F501CA" w:rsidRPr="00F501CA">
        <w:t>http://www.investopedia.com/terms/c/closed-endinvestment.asp</w:t>
      </w:r>
    </w:p>
  </w:footnote>
  <w:footnote w:id="7">
    <w:p w:rsidR="00424AA9" w:rsidRDefault="00424AA9">
      <w:pPr>
        <w:pStyle w:val="FootnoteText"/>
      </w:pPr>
      <w:r>
        <w:rPr>
          <w:rStyle w:val="FootnoteReference"/>
        </w:rPr>
        <w:footnoteRef/>
      </w:r>
      <w:r>
        <w:t xml:space="preserve"> </w:t>
      </w:r>
      <w:r w:rsidR="00EE7062">
        <w:t xml:space="preserve">See </w:t>
      </w:r>
      <w:r w:rsidR="00F501CA" w:rsidRPr="00F501CA">
        <w:t>http://www.sec.gov/investor/tools/mfcc/mutual-fund-help.htm</w:t>
      </w:r>
    </w:p>
  </w:footnote>
  <w:footnote w:id="8">
    <w:p w:rsidR="00F501CA" w:rsidRDefault="00F501CA" w:rsidP="00F501CA">
      <w:pPr>
        <w:pStyle w:val="FootnoteText"/>
      </w:pPr>
      <w:r>
        <w:rPr>
          <w:rStyle w:val="FootnoteReference"/>
        </w:rPr>
        <w:footnoteRef/>
      </w:r>
      <w:r>
        <w:t xml:space="preserve"> See </w:t>
      </w:r>
      <w:r w:rsidRPr="008C5764">
        <w:rPr>
          <w:u w:val="single"/>
        </w:rPr>
        <w:t>Essentials of Investments</w:t>
      </w:r>
      <w:r w:rsidRPr="008C5764">
        <w:t xml:space="preserve">, 9th edition by </w:t>
      </w:r>
      <w:proofErr w:type="spellStart"/>
      <w:r w:rsidRPr="008C5764">
        <w:t>Zvi</w:t>
      </w:r>
      <w:proofErr w:type="spellEnd"/>
      <w:r w:rsidRPr="008C5764">
        <w:t xml:space="preserve"> </w:t>
      </w:r>
      <w:proofErr w:type="spellStart"/>
      <w:r w:rsidRPr="008C5764">
        <w:t>Bodie</w:t>
      </w:r>
      <w:proofErr w:type="spellEnd"/>
      <w:r w:rsidRPr="008C5764">
        <w:t xml:space="preserve">, Alex Kane, and Alan J. Marcus, Chapter </w:t>
      </w:r>
      <w:r>
        <w:t>4</w:t>
      </w:r>
      <w:r w:rsidRPr="008C5764">
        <w:t>.</w:t>
      </w:r>
    </w:p>
  </w:footnote>
  <w:footnote w:id="9">
    <w:p w:rsidR="00D513D6" w:rsidRDefault="00D513D6">
      <w:pPr>
        <w:pStyle w:val="FootnoteText"/>
      </w:pPr>
      <w:r>
        <w:rPr>
          <w:rStyle w:val="FootnoteReference"/>
        </w:rPr>
        <w:footnoteRef/>
      </w:r>
      <w:r>
        <w:t xml:space="preserve"> </w:t>
      </w:r>
      <w:r w:rsidRPr="00D513D6">
        <w:t xml:space="preserve">Investors can obtain the expense ratio for a fund from the </w:t>
      </w:r>
      <w:r w:rsidRPr="00D513D6">
        <w:rPr>
          <w:i/>
        </w:rPr>
        <w:t>Morningstar</w:t>
      </w:r>
      <w:r w:rsidRPr="00D513D6">
        <w:t xml:space="preserve"> database, additional details are provided in the company’s prospectus.  </w:t>
      </w:r>
    </w:p>
  </w:footnote>
  <w:footnote w:id="10">
    <w:p w:rsidR="00BB76DC" w:rsidRDefault="00BB76DC">
      <w:pPr>
        <w:pStyle w:val="FootnoteText"/>
      </w:pPr>
      <w:r>
        <w:rPr>
          <w:rStyle w:val="FootnoteReference"/>
        </w:rPr>
        <w:footnoteRef/>
      </w:r>
      <w:r>
        <w:t xml:space="preserve"> See </w:t>
      </w:r>
      <w:r w:rsidRPr="00794E51">
        <w:t>http://www.investoped</w:t>
      </w:r>
      <w:r w:rsidR="00794E51">
        <w:t xml:space="preserve">ia.com/ask/answers/04/011404.asp Potential additional </w:t>
      </w:r>
      <w:r w:rsidR="00794E51" w:rsidRPr="00794E51">
        <w:t>"hidden" costs and liabilities such as tracking error, poor underlying liquidity or credit risk</w:t>
      </w:r>
      <w:r w:rsidR="00794E51">
        <w:t xml:space="preserve">. </w:t>
      </w:r>
      <w:r w:rsidR="00794E51" w:rsidRPr="00794E51">
        <w:t>http://stonehedge-partne</w:t>
      </w:r>
      <w:r w:rsidR="00794E51">
        <w:t>rs.com/capital/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86AA9"/>
    <w:multiLevelType w:val="hybridMultilevel"/>
    <w:tmpl w:val="59C0A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F85C38"/>
    <w:multiLevelType w:val="hybridMultilevel"/>
    <w:tmpl w:val="E152A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3F334F"/>
    <w:multiLevelType w:val="hybridMultilevel"/>
    <w:tmpl w:val="4F32B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650671E"/>
    <w:multiLevelType w:val="hybridMultilevel"/>
    <w:tmpl w:val="9FE0D99C"/>
    <w:lvl w:ilvl="0" w:tplc="64E4F3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F647F96"/>
    <w:multiLevelType w:val="hybridMultilevel"/>
    <w:tmpl w:val="9D544C28"/>
    <w:lvl w:ilvl="0" w:tplc="B1F234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08A1627"/>
    <w:multiLevelType w:val="hybridMultilevel"/>
    <w:tmpl w:val="3C2E2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F4478A4"/>
    <w:multiLevelType w:val="hybridMultilevel"/>
    <w:tmpl w:val="1EA4F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33F78CA"/>
    <w:multiLevelType w:val="hybridMultilevel"/>
    <w:tmpl w:val="1D50F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2"/>
  </w:num>
  <w:num w:numId="4">
    <w:abstractNumId w:val="5"/>
  </w:num>
  <w:num w:numId="5">
    <w:abstractNumId w:val="4"/>
  </w:num>
  <w:num w:numId="6">
    <w:abstractNumId w:val="3"/>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C71"/>
    <w:rsid w:val="000126B1"/>
    <w:rsid w:val="00053E4D"/>
    <w:rsid w:val="0006777E"/>
    <w:rsid w:val="000922F1"/>
    <w:rsid w:val="000A7672"/>
    <w:rsid w:val="00112057"/>
    <w:rsid w:val="00247831"/>
    <w:rsid w:val="002B2189"/>
    <w:rsid w:val="00312879"/>
    <w:rsid w:val="003319A5"/>
    <w:rsid w:val="00424AA9"/>
    <w:rsid w:val="004C4CA6"/>
    <w:rsid w:val="004E39C6"/>
    <w:rsid w:val="005344BA"/>
    <w:rsid w:val="00574CD6"/>
    <w:rsid w:val="005A0BF5"/>
    <w:rsid w:val="00625DD5"/>
    <w:rsid w:val="0066436A"/>
    <w:rsid w:val="00665629"/>
    <w:rsid w:val="006E4BE0"/>
    <w:rsid w:val="00722E0A"/>
    <w:rsid w:val="00794E51"/>
    <w:rsid w:val="007D2696"/>
    <w:rsid w:val="007F5A2B"/>
    <w:rsid w:val="00803A1C"/>
    <w:rsid w:val="00876A98"/>
    <w:rsid w:val="008B2026"/>
    <w:rsid w:val="008D4F2B"/>
    <w:rsid w:val="009061B9"/>
    <w:rsid w:val="00945C3F"/>
    <w:rsid w:val="00997ADA"/>
    <w:rsid w:val="009A7B26"/>
    <w:rsid w:val="009B00CF"/>
    <w:rsid w:val="009D76CF"/>
    <w:rsid w:val="00A53979"/>
    <w:rsid w:val="00AA1797"/>
    <w:rsid w:val="00AB3388"/>
    <w:rsid w:val="00AC5496"/>
    <w:rsid w:val="00AE101D"/>
    <w:rsid w:val="00AE6C00"/>
    <w:rsid w:val="00B33663"/>
    <w:rsid w:val="00B6645E"/>
    <w:rsid w:val="00BB76DC"/>
    <w:rsid w:val="00BE3524"/>
    <w:rsid w:val="00C21947"/>
    <w:rsid w:val="00C32D72"/>
    <w:rsid w:val="00C51AD2"/>
    <w:rsid w:val="00C5284C"/>
    <w:rsid w:val="00CE5D43"/>
    <w:rsid w:val="00D513D6"/>
    <w:rsid w:val="00E358D6"/>
    <w:rsid w:val="00E60754"/>
    <w:rsid w:val="00E8236F"/>
    <w:rsid w:val="00E8726A"/>
    <w:rsid w:val="00E97952"/>
    <w:rsid w:val="00EB4C71"/>
    <w:rsid w:val="00EE7062"/>
    <w:rsid w:val="00F501CA"/>
    <w:rsid w:val="00F80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AE101D"/>
    <w:rPr>
      <w:sz w:val="20"/>
      <w:szCs w:val="20"/>
    </w:rPr>
  </w:style>
  <w:style w:type="character" w:customStyle="1" w:styleId="FootnoteTextChar">
    <w:name w:val="Footnote Text Char"/>
    <w:basedOn w:val="DefaultParagraphFont"/>
    <w:link w:val="FootnoteText"/>
    <w:uiPriority w:val="99"/>
    <w:rsid w:val="00AE101D"/>
    <w:rPr>
      <w:sz w:val="20"/>
      <w:szCs w:val="20"/>
    </w:rPr>
  </w:style>
  <w:style w:type="character" w:styleId="FootnoteReference">
    <w:name w:val="footnote reference"/>
    <w:basedOn w:val="DefaultParagraphFont"/>
    <w:uiPriority w:val="99"/>
    <w:semiHidden/>
    <w:unhideWhenUsed/>
    <w:rsid w:val="00AE101D"/>
    <w:rPr>
      <w:vertAlign w:val="superscript"/>
    </w:rPr>
  </w:style>
  <w:style w:type="paragraph" w:styleId="ListParagraph">
    <w:name w:val="List Paragraph"/>
    <w:basedOn w:val="Normal"/>
    <w:uiPriority w:val="34"/>
    <w:qFormat/>
    <w:rsid w:val="00AE101D"/>
    <w:pPr>
      <w:ind w:left="720"/>
      <w:contextualSpacing/>
    </w:pPr>
  </w:style>
  <w:style w:type="character" w:styleId="Hyperlink">
    <w:name w:val="Hyperlink"/>
    <w:basedOn w:val="DefaultParagraphFont"/>
    <w:uiPriority w:val="99"/>
    <w:unhideWhenUsed/>
    <w:rsid w:val="00AB3388"/>
    <w:rPr>
      <w:color w:val="0000FF" w:themeColor="hyperlink"/>
      <w:u w:val="single"/>
    </w:rPr>
  </w:style>
  <w:style w:type="paragraph" w:styleId="NormalWeb">
    <w:name w:val="Normal (Web)"/>
    <w:basedOn w:val="Normal"/>
    <w:uiPriority w:val="99"/>
    <w:semiHidden/>
    <w:unhideWhenUsed/>
    <w:rsid w:val="003319A5"/>
    <w:pPr>
      <w:spacing w:before="100" w:beforeAutospacing="1" w:after="100" w:afterAutospacing="1"/>
    </w:pPr>
    <w:rPr>
      <w:rFonts w:eastAsia="Times New Roman" w:cs="Times New Roman"/>
      <w:szCs w:val="24"/>
    </w:rPr>
  </w:style>
  <w:style w:type="paragraph" w:styleId="BalloonText">
    <w:name w:val="Balloon Text"/>
    <w:basedOn w:val="Normal"/>
    <w:link w:val="BalloonTextChar"/>
    <w:uiPriority w:val="99"/>
    <w:semiHidden/>
    <w:unhideWhenUsed/>
    <w:rsid w:val="003319A5"/>
    <w:rPr>
      <w:rFonts w:ascii="Tahoma" w:hAnsi="Tahoma" w:cs="Tahoma"/>
      <w:sz w:val="16"/>
      <w:szCs w:val="16"/>
    </w:rPr>
  </w:style>
  <w:style w:type="character" w:customStyle="1" w:styleId="BalloonTextChar">
    <w:name w:val="Balloon Text Char"/>
    <w:basedOn w:val="DefaultParagraphFont"/>
    <w:link w:val="BalloonText"/>
    <w:uiPriority w:val="99"/>
    <w:semiHidden/>
    <w:rsid w:val="003319A5"/>
    <w:rPr>
      <w:rFonts w:ascii="Tahoma" w:hAnsi="Tahoma" w:cs="Tahoma"/>
      <w:sz w:val="16"/>
      <w:szCs w:val="16"/>
    </w:rPr>
  </w:style>
  <w:style w:type="paragraph" w:styleId="Header">
    <w:name w:val="header"/>
    <w:basedOn w:val="Normal"/>
    <w:link w:val="HeaderChar"/>
    <w:uiPriority w:val="99"/>
    <w:unhideWhenUsed/>
    <w:rsid w:val="009D76CF"/>
    <w:pPr>
      <w:tabs>
        <w:tab w:val="center" w:pos="4680"/>
        <w:tab w:val="right" w:pos="9360"/>
      </w:tabs>
    </w:pPr>
  </w:style>
  <w:style w:type="character" w:customStyle="1" w:styleId="HeaderChar">
    <w:name w:val="Header Char"/>
    <w:basedOn w:val="DefaultParagraphFont"/>
    <w:link w:val="Header"/>
    <w:uiPriority w:val="99"/>
    <w:rsid w:val="009D76CF"/>
  </w:style>
  <w:style w:type="paragraph" w:styleId="Footer">
    <w:name w:val="footer"/>
    <w:basedOn w:val="Normal"/>
    <w:link w:val="FooterChar"/>
    <w:uiPriority w:val="99"/>
    <w:unhideWhenUsed/>
    <w:rsid w:val="009D76CF"/>
    <w:pPr>
      <w:tabs>
        <w:tab w:val="center" w:pos="4680"/>
        <w:tab w:val="right" w:pos="9360"/>
      </w:tabs>
    </w:pPr>
  </w:style>
  <w:style w:type="character" w:customStyle="1" w:styleId="FooterChar">
    <w:name w:val="Footer Char"/>
    <w:basedOn w:val="DefaultParagraphFont"/>
    <w:link w:val="Footer"/>
    <w:uiPriority w:val="99"/>
    <w:rsid w:val="009D76CF"/>
  </w:style>
  <w:style w:type="character" w:customStyle="1" w:styleId="apple-style-span">
    <w:name w:val="apple-style-span"/>
    <w:basedOn w:val="DefaultParagraphFont"/>
    <w:rsid w:val="00053E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AE101D"/>
    <w:rPr>
      <w:sz w:val="20"/>
      <w:szCs w:val="20"/>
    </w:rPr>
  </w:style>
  <w:style w:type="character" w:customStyle="1" w:styleId="FootnoteTextChar">
    <w:name w:val="Footnote Text Char"/>
    <w:basedOn w:val="DefaultParagraphFont"/>
    <w:link w:val="FootnoteText"/>
    <w:uiPriority w:val="99"/>
    <w:rsid w:val="00AE101D"/>
    <w:rPr>
      <w:sz w:val="20"/>
      <w:szCs w:val="20"/>
    </w:rPr>
  </w:style>
  <w:style w:type="character" w:styleId="FootnoteReference">
    <w:name w:val="footnote reference"/>
    <w:basedOn w:val="DefaultParagraphFont"/>
    <w:uiPriority w:val="99"/>
    <w:semiHidden/>
    <w:unhideWhenUsed/>
    <w:rsid w:val="00AE101D"/>
    <w:rPr>
      <w:vertAlign w:val="superscript"/>
    </w:rPr>
  </w:style>
  <w:style w:type="paragraph" w:styleId="ListParagraph">
    <w:name w:val="List Paragraph"/>
    <w:basedOn w:val="Normal"/>
    <w:uiPriority w:val="34"/>
    <w:qFormat/>
    <w:rsid w:val="00AE101D"/>
    <w:pPr>
      <w:ind w:left="720"/>
      <w:contextualSpacing/>
    </w:pPr>
  </w:style>
  <w:style w:type="character" w:styleId="Hyperlink">
    <w:name w:val="Hyperlink"/>
    <w:basedOn w:val="DefaultParagraphFont"/>
    <w:uiPriority w:val="99"/>
    <w:unhideWhenUsed/>
    <w:rsid w:val="00AB3388"/>
    <w:rPr>
      <w:color w:val="0000FF" w:themeColor="hyperlink"/>
      <w:u w:val="single"/>
    </w:rPr>
  </w:style>
  <w:style w:type="paragraph" w:styleId="NormalWeb">
    <w:name w:val="Normal (Web)"/>
    <w:basedOn w:val="Normal"/>
    <w:uiPriority w:val="99"/>
    <w:semiHidden/>
    <w:unhideWhenUsed/>
    <w:rsid w:val="003319A5"/>
    <w:pPr>
      <w:spacing w:before="100" w:beforeAutospacing="1" w:after="100" w:afterAutospacing="1"/>
    </w:pPr>
    <w:rPr>
      <w:rFonts w:eastAsia="Times New Roman" w:cs="Times New Roman"/>
      <w:szCs w:val="24"/>
    </w:rPr>
  </w:style>
  <w:style w:type="paragraph" w:styleId="BalloonText">
    <w:name w:val="Balloon Text"/>
    <w:basedOn w:val="Normal"/>
    <w:link w:val="BalloonTextChar"/>
    <w:uiPriority w:val="99"/>
    <w:semiHidden/>
    <w:unhideWhenUsed/>
    <w:rsid w:val="003319A5"/>
    <w:rPr>
      <w:rFonts w:ascii="Tahoma" w:hAnsi="Tahoma" w:cs="Tahoma"/>
      <w:sz w:val="16"/>
      <w:szCs w:val="16"/>
    </w:rPr>
  </w:style>
  <w:style w:type="character" w:customStyle="1" w:styleId="BalloonTextChar">
    <w:name w:val="Balloon Text Char"/>
    <w:basedOn w:val="DefaultParagraphFont"/>
    <w:link w:val="BalloonText"/>
    <w:uiPriority w:val="99"/>
    <w:semiHidden/>
    <w:rsid w:val="003319A5"/>
    <w:rPr>
      <w:rFonts w:ascii="Tahoma" w:hAnsi="Tahoma" w:cs="Tahoma"/>
      <w:sz w:val="16"/>
      <w:szCs w:val="16"/>
    </w:rPr>
  </w:style>
  <w:style w:type="paragraph" w:styleId="Header">
    <w:name w:val="header"/>
    <w:basedOn w:val="Normal"/>
    <w:link w:val="HeaderChar"/>
    <w:uiPriority w:val="99"/>
    <w:unhideWhenUsed/>
    <w:rsid w:val="009D76CF"/>
    <w:pPr>
      <w:tabs>
        <w:tab w:val="center" w:pos="4680"/>
        <w:tab w:val="right" w:pos="9360"/>
      </w:tabs>
    </w:pPr>
  </w:style>
  <w:style w:type="character" w:customStyle="1" w:styleId="HeaderChar">
    <w:name w:val="Header Char"/>
    <w:basedOn w:val="DefaultParagraphFont"/>
    <w:link w:val="Header"/>
    <w:uiPriority w:val="99"/>
    <w:rsid w:val="009D76CF"/>
  </w:style>
  <w:style w:type="paragraph" w:styleId="Footer">
    <w:name w:val="footer"/>
    <w:basedOn w:val="Normal"/>
    <w:link w:val="FooterChar"/>
    <w:uiPriority w:val="99"/>
    <w:unhideWhenUsed/>
    <w:rsid w:val="009D76CF"/>
    <w:pPr>
      <w:tabs>
        <w:tab w:val="center" w:pos="4680"/>
        <w:tab w:val="right" w:pos="9360"/>
      </w:tabs>
    </w:pPr>
  </w:style>
  <w:style w:type="character" w:customStyle="1" w:styleId="FooterChar">
    <w:name w:val="Footer Char"/>
    <w:basedOn w:val="DefaultParagraphFont"/>
    <w:link w:val="Footer"/>
    <w:uiPriority w:val="99"/>
    <w:rsid w:val="009D76CF"/>
  </w:style>
  <w:style w:type="character" w:customStyle="1" w:styleId="apple-style-span">
    <w:name w:val="apple-style-span"/>
    <w:basedOn w:val="DefaultParagraphFont"/>
    <w:rsid w:val="00053E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450490">
      <w:bodyDiv w:val="1"/>
      <w:marLeft w:val="0"/>
      <w:marRight w:val="0"/>
      <w:marTop w:val="0"/>
      <w:marBottom w:val="0"/>
      <w:divBdr>
        <w:top w:val="none" w:sz="0" w:space="0" w:color="auto"/>
        <w:left w:val="none" w:sz="0" w:space="0" w:color="auto"/>
        <w:bottom w:val="none" w:sz="0" w:space="0" w:color="auto"/>
        <w:right w:val="none" w:sz="0" w:space="0" w:color="auto"/>
      </w:divBdr>
      <w:divsChild>
        <w:div w:id="817914839">
          <w:marLeft w:val="547"/>
          <w:marRight w:val="0"/>
          <w:marTop w:val="134"/>
          <w:marBottom w:val="0"/>
          <w:divBdr>
            <w:top w:val="none" w:sz="0" w:space="0" w:color="auto"/>
            <w:left w:val="none" w:sz="0" w:space="0" w:color="auto"/>
            <w:bottom w:val="none" w:sz="0" w:space="0" w:color="auto"/>
            <w:right w:val="none" w:sz="0" w:space="0" w:color="auto"/>
          </w:divBdr>
        </w:div>
        <w:div w:id="197550892">
          <w:marLeft w:val="547"/>
          <w:marRight w:val="0"/>
          <w:marTop w:val="134"/>
          <w:marBottom w:val="0"/>
          <w:divBdr>
            <w:top w:val="none" w:sz="0" w:space="0" w:color="auto"/>
            <w:left w:val="none" w:sz="0" w:space="0" w:color="auto"/>
            <w:bottom w:val="none" w:sz="0" w:space="0" w:color="auto"/>
            <w:right w:val="none" w:sz="0" w:space="0" w:color="auto"/>
          </w:divBdr>
        </w:div>
        <w:div w:id="311450282">
          <w:marLeft w:val="547"/>
          <w:marRight w:val="0"/>
          <w:marTop w:val="134"/>
          <w:marBottom w:val="0"/>
          <w:divBdr>
            <w:top w:val="none" w:sz="0" w:space="0" w:color="auto"/>
            <w:left w:val="none" w:sz="0" w:space="0" w:color="auto"/>
            <w:bottom w:val="none" w:sz="0" w:space="0" w:color="auto"/>
            <w:right w:val="none" w:sz="0" w:space="0" w:color="auto"/>
          </w:divBdr>
        </w:div>
        <w:div w:id="885679111">
          <w:marLeft w:val="547"/>
          <w:marRight w:val="0"/>
          <w:marTop w:val="134"/>
          <w:marBottom w:val="0"/>
          <w:divBdr>
            <w:top w:val="none" w:sz="0" w:space="0" w:color="auto"/>
            <w:left w:val="none" w:sz="0" w:space="0" w:color="auto"/>
            <w:bottom w:val="none" w:sz="0" w:space="0" w:color="auto"/>
            <w:right w:val="none" w:sz="0" w:space="0" w:color="auto"/>
          </w:divBdr>
        </w:div>
      </w:divsChild>
    </w:div>
    <w:div w:id="1084911726">
      <w:bodyDiv w:val="1"/>
      <w:marLeft w:val="0"/>
      <w:marRight w:val="0"/>
      <w:marTop w:val="0"/>
      <w:marBottom w:val="0"/>
      <w:divBdr>
        <w:top w:val="none" w:sz="0" w:space="0" w:color="auto"/>
        <w:left w:val="none" w:sz="0" w:space="0" w:color="auto"/>
        <w:bottom w:val="none" w:sz="0" w:space="0" w:color="auto"/>
        <w:right w:val="none" w:sz="0" w:space="0" w:color="auto"/>
      </w:divBdr>
      <w:divsChild>
        <w:div w:id="1209219501">
          <w:marLeft w:val="547"/>
          <w:marRight w:val="0"/>
          <w:marTop w:val="115"/>
          <w:marBottom w:val="0"/>
          <w:divBdr>
            <w:top w:val="none" w:sz="0" w:space="0" w:color="auto"/>
            <w:left w:val="none" w:sz="0" w:space="0" w:color="auto"/>
            <w:bottom w:val="none" w:sz="0" w:space="0" w:color="auto"/>
            <w:right w:val="none" w:sz="0" w:space="0" w:color="auto"/>
          </w:divBdr>
        </w:div>
      </w:divsChild>
    </w:div>
    <w:div w:id="1201213291">
      <w:bodyDiv w:val="1"/>
      <w:marLeft w:val="0"/>
      <w:marRight w:val="0"/>
      <w:marTop w:val="0"/>
      <w:marBottom w:val="0"/>
      <w:divBdr>
        <w:top w:val="none" w:sz="0" w:space="0" w:color="auto"/>
        <w:left w:val="none" w:sz="0" w:space="0" w:color="auto"/>
        <w:bottom w:val="none" w:sz="0" w:space="0" w:color="auto"/>
        <w:right w:val="none" w:sz="0" w:space="0" w:color="auto"/>
      </w:divBdr>
    </w:div>
    <w:div w:id="1337032699">
      <w:bodyDiv w:val="1"/>
      <w:marLeft w:val="0"/>
      <w:marRight w:val="0"/>
      <w:marTop w:val="0"/>
      <w:marBottom w:val="0"/>
      <w:divBdr>
        <w:top w:val="none" w:sz="0" w:space="0" w:color="auto"/>
        <w:left w:val="none" w:sz="0" w:space="0" w:color="auto"/>
        <w:bottom w:val="none" w:sz="0" w:space="0" w:color="auto"/>
        <w:right w:val="none" w:sz="0" w:space="0" w:color="auto"/>
      </w:divBdr>
    </w:div>
    <w:div w:id="1477407504">
      <w:bodyDiv w:val="1"/>
      <w:marLeft w:val="0"/>
      <w:marRight w:val="0"/>
      <w:marTop w:val="0"/>
      <w:marBottom w:val="0"/>
      <w:divBdr>
        <w:top w:val="none" w:sz="0" w:space="0" w:color="auto"/>
        <w:left w:val="none" w:sz="0" w:space="0" w:color="auto"/>
        <w:bottom w:val="none" w:sz="0" w:space="0" w:color="auto"/>
        <w:right w:val="none" w:sz="0" w:space="0" w:color="auto"/>
      </w:divBdr>
      <w:divsChild>
        <w:div w:id="575826797">
          <w:marLeft w:val="547"/>
          <w:marRight w:val="0"/>
          <w:marTop w:val="134"/>
          <w:marBottom w:val="0"/>
          <w:divBdr>
            <w:top w:val="none" w:sz="0" w:space="0" w:color="auto"/>
            <w:left w:val="none" w:sz="0" w:space="0" w:color="auto"/>
            <w:bottom w:val="none" w:sz="0" w:space="0" w:color="auto"/>
            <w:right w:val="none" w:sz="0" w:space="0" w:color="auto"/>
          </w:divBdr>
        </w:div>
      </w:divsChild>
    </w:div>
    <w:div w:id="1505316877">
      <w:bodyDiv w:val="1"/>
      <w:marLeft w:val="0"/>
      <w:marRight w:val="0"/>
      <w:marTop w:val="0"/>
      <w:marBottom w:val="0"/>
      <w:divBdr>
        <w:top w:val="none" w:sz="0" w:space="0" w:color="auto"/>
        <w:left w:val="none" w:sz="0" w:space="0" w:color="auto"/>
        <w:bottom w:val="none" w:sz="0" w:space="0" w:color="auto"/>
        <w:right w:val="none" w:sz="0" w:space="0" w:color="auto"/>
      </w:divBdr>
    </w:div>
    <w:div w:id="1558392870">
      <w:bodyDiv w:val="1"/>
      <w:marLeft w:val="0"/>
      <w:marRight w:val="0"/>
      <w:marTop w:val="0"/>
      <w:marBottom w:val="0"/>
      <w:divBdr>
        <w:top w:val="none" w:sz="0" w:space="0" w:color="auto"/>
        <w:left w:val="none" w:sz="0" w:space="0" w:color="auto"/>
        <w:bottom w:val="none" w:sz="0" w:space="0" w:color="auto"/>
        <w:right w:val="none" w:sz="0" w:space="0" w:color="auto"/>
      </w:divBdr>
      <w:divsChild>
        <w:div w:id="1916040723">
          <w:marLeft w:val="547"/>
          <w:marRight w:val="0"/>
          <w:marTop w:val="134"/>
          <w:marBottom w:val="0"/>
          <w:divBdr>
            <w:top w:val="none" w:sz="0" w:space="0" w:color="auto"/>
            <w:left w:val="none" w:sz="0" w:space="0" w:color="auto"/>
            <w:bottom w:val="none" w:sz="0" w:space="0" w:color="auto"/>
            <w:right w:val="none" w:sz="0" w:space="0" w:color="auto"/>
          </w:divBdr>
        </w:div>
      </w:divsChild>
    </w:div>
    <w:div w:id="1677923508">
      <w:bodyDiv w:val="1"/>
      <w:marLeft w:val="0"/>
      <w:marRight w:val="0"/>
      <w:marTop w:val="0"/>
      <w:marBottom w:val="0"/>
      <w:divBdr>
        <w:top w:val="none" w:sz="0" w:space="0" w:color="auto"/>
        <w:left w:val="none" w:sz="0" w:space="0" w:color="auto"/>
        <w:bottom w:val="none" w:sz="0" w:space="0" w:color="auto"/>
        <w:right w:val="none" w:sz="0" w:space="0" w:color="auto"/>
      </w:divBdr>
    </w:div>
    <w:div w:id="2127698793">
      <w:bodyDiv w:val="1"/>
      <w:marLeft w:val="0"/>
      <w:marRight w:val="0"/>
      <w:marTop w:val="0"/>
      <w:marBottom w:val="0"/>
      <w:divBdr>
        <w:top w:val="none" w:sz="0" w:space="0" w:color="auto"/>
        <w:left w:val="none" w:sz="0" w:space="0" w:color="auto"/>
        <w:bottom w:val="none" w:sz="0" w:space="0" w:color="auto"/>
        <w:right w:val="none" w:sz="0" w:space="0" w:color="auto"/>
      </w:divBdr>
      <w:divsChild>
        <w:div w:id="1041596109">
          <w:marLeft w:val="547"/>
          <w:marRight w:val="0"/>
          <w:marTop w:val="134"/>
          <w:marBottom w:val="0"/>
          <w:divBdr>
            <w:top w:val="none" w:sz="0" w:space="0" w:color="auto"/>
            <w:left w:val="none" w:sz="0" w:space="0" w:color="auto"/>
            <w:bottom w:val="none" w:sz="0" w:space="0" w:color="auto"/>
            <w:right w:val="none" w:sz="0" w:space="0" w:color="auto"/>
          </w:divBdr>
        </w:div>
        <w:div w:id="1868523260">
          <w:marLeft w:val="1166"/>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4C46E8-B919-4DA6-9AA9-BDBF4EDDB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2</Pages>
  <Words>756</Words>
  <Characters>4313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Babson College</Company>
  <LinksUpToDate>false</LinksUpToDate>
  <CharactersWithSpaces>5059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cp:revision>
  <cp:lastPrinted>2013-09-19T19:47:00Z</cp:lastPrinted>
  <dcterms:created xsi:type="dcterms:W3CDTF">2013-10-23T20:05:00Z</dcterms:created>
  <dcterms:modified xsi:type="dcterms:W3CDTF">2013-10-28T22:49:00Z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