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D70" w:rsidRPr="005F1B92" w:rsidRDefault="006B1C53" w:rsidP="005F1B92">
      <w:pPr>
        <w:jc w:val="center"/>
        <w:rPr>
          <w:b/>
          <w:caps/>
        </w:rPr>
      </w:pPr>
      <w:r>
        <w:rPr>
          <w:b/>
          <w:caps/>
        </w:rPr>
        <w:t xml:space="preserve">HEDGING </w:t>
      </w:r>
      <w:r w:rsidR="005F1B92" w:rsidRPr="005F1B92">
        <w:rPr>
          <w:b/>
          <w:caps/>
        </w:rPr>
        <w:t>Inflation</w:t>
      </w:r>
    </w:p>
    <w:p w:rsidR="005F1B92" w:rsidRDefault="005F1B92"/>
    <w:p w:rsidR="00D25A57" w:rsidRPr="00D25A57" w:rsidRDefault="00D25A57" w:rsidP="00D25A57">
      <w:pPr>
        <w:jc w:val="center"/>
        <w:rPr>
          <w:i/>
        </w:rPr>
      </w:pPr>
      <w:r w:rsidRPr="00D25A57">
        <w:rPr>
          <w:i/>
        </w:rPr>
        <w:t>“In the savings and investment game, few ills frighten individuals more than inflation, since it can rapidly deteriorate value.”</w:t>
      </w:r>
      <w:r w:rsidRPr="00D25A57">
        <w:rPr>
          <w:rStyle w:val="FootnoteReference"/>
          <w:i/>
        </w:rPr>
        <w:t xml:space="preserve"> </w:t>
      </w:r>
      <w:r w:rsidRPr="00D25A57">
        <w:rPr>
          <w:rStyle w:val="FootnoteReference"/>
          <w:i/>
        </w:rPr>
        <w:footnoteReference w:id="1"/>
      </w:r>
    </w:p>
    <w:p w:rsidR="00D25A57" w:rsidRPr="005B4044" w:rsidRDefault="00D25A57">
      <w:pPr>
        <w:rPr>
          <w:sz w:val="12"/>
          <w:szCs w:val="12"/>
        </w:rPr>
      </w:pPr>
    </w:p>
    <w:p w:rsidR="00CE7D3E" w:rsidRPr="00D25A57" w:rsidRDefault="00CE7D3E" w:rsidP="00016B9B">
      <w:pPr>
        <w:jc w:val="both"/>
      </w:pPr>
      <w:r w:rsidRPr="00D25A57">
        <w:t xml:space="preserve">Inflation </w:t>
      </w:r>
      <w:r w:rsidR="00D25A57">
        <w:t>impacts</w:t>
      </w:r>
      <w:r w:rsidRPr="00D25A57">
        <w:t xml:space="preserve"> your plans in two ways: First, it erodes the purchasing power of the cum</w:t>
      </w:r>
      <w:r w:rsidR="00D25A57">
        <w:t xml:space="preserve">ulative dollars you have </w:t>
      </w:r>
      <w:r w:rsidRPr="00D25A57">
        <w:t>saved.  Second, the real dollars you can earn on your portfolio each year depend on the real interest rate.</w:t>
      </w:r>
      <w:r w:rsidRPr="00D25A57">
        <w:rPr>
          <w:rStyle w:val="FootnoteReference"/>
        </w:rPr>
        <w:footnoteReference w:id="2"/>
      </w:r>
    </w:p>
    <w:p w:rsidR="005F1B92" w:rsidRPr="005B4044" w:rsidRDefault="005F1B92" w:rsidP="00016B9B">
      <w:pPr>
        <w:jc w:val="both"/>
        <w:rPr>
          <w:sz w:val="12"/>
          <w:szCs w:val="12"/>
        </w:rPr>
      </w:pPr>
    </w:p>
    <w:p w:rsidR="005F1B92" w:rsidRDefault="005F1B92" w:rsidP="00016B9B">
      <w:pPr>
        <w:jc w:val="both"/>
      </w:pPr>
      <w:r w:rsidRPr="005F1B92">
        <w:rPr>
          <w:b/>
        </w:rPr>
        <w:t>Inflation</w:t>
      </w:r>
      <w:r>
        <w:t xml:space="preserve"> – is the rate at which the general level of prices is rising.  </w:t>
      </w:r>
      <w:r w:rsidR="00CE7D3E">
        <w:t xml:space="preserve">Inflation can decrease financial stability, the value of monetary assets, purchasing power, and economic growth.  </w:t>
      </w:r>
      <w:r>
        <w:t>The U.S. FOMC tries to balance the perceived trade-off between inflation and unemployment.</w:t>
      </w:r>
      <w:r>
        <w:rPr>
          <w:rStyle w:val="FootnoteReference"/>
        </w:rPr>
        <w:footnoteReference w:id="3"/>
      </w:r>
      <w:r w:rsidR="00CE7D3E">
        <w:t xml:space="preserve">  There are two types of inflation, cost-push and demand pull.</w:t>
      </w:r>
      <w:r w:rsidR="00D25A57">
        <w:rPr>
          <w:rStyle w:val="FootnoteReference"/>
        </w:rPr>
        <w:footnoteReference w:id="4"/>
      </w:r>
    </w:p>
    <w:p w:rsidR="00CE7D3E" w:rsidRDefault="00CE7D3E" w:rsidP="00016B9B">
      <w:pPr>
        <w:ind w:left="720"/>
        <w:jc w:val="both"/>
      </w:pPr>
      <w:r w:rsidRPr="00D25A57">
        <w:rPr>
          <w:i/>
        </w:rPr>
        <w:t xml:space="preserve">Cost push </w:t>
      </w:r>
      <w:r w:rsidR="00D25A57" w:rsidRPr="00D25A57">
        <w:rPr>
          <w:i/>
        </w:rPr>
        <w:t>i</w:t>
      </w:r>
      <w:r w:rsidRPr="00D25A57">
        <w:rPr>
          <w:i/>
        </w:rPr>
        <w:t>nflation</w:t>
      </w:r>
      <w:r>
        <w:t xml:space="preserve"> – is caused by rising prices resulting from rising costs.  Typically an increase in the cost of supplying raw materials (e.g. extracting materials, wages, </w:t>
      </w:r>
      <w:proofErr w:type="gramStart"/>
      <w:r>
        <w:t>finance</w:t>
      </w:r>
      <w:proofErr w:type="gramEnd"/>
      <w:r>
        <w:t xml:space="preserve"> charges) cases the supplier to increase the price to manufacturers who </w:t>
      </w:r>
      <w:r w:rsidR="00D25A57">
        <w:t xml:space="preserve">then </w:t>
      </w:r>
      <w:r>
        <w:t xml:space="preserve">increases prices to </w:t>
      </w:r>
      <w:r w:rsidR="00D25A57">
        <w:t>consumers</w:t>
      </w:r>
      <w:r>
        <w:t>.</w:t>
      </w:r>
    </w:p>
    <w:p w:rsidR="005F1B92" w:rsidRDefault="00D25A57" w:rsidP="00016B9B">
      <w:pPr>
        <w:ind w:left="720"/>
        <w:jc w:val="both"/>
      </w:pPr>
      <w:r>
        <w:rPr>
          <w:i/>
        </w:rPr>
        <w:t>Demand pull inflation</w:t>
      </w:r>
      <w:r>
        <w:t xml:space="preserve"> – occurs when demand for a good or service is greater than the supply of that good or service.  </w:t>
      </w:r>
      <w:proofErr w:type="gramStart"/>
      <w:r>
        <w:rPr>
          <w:i/>
        </w:rPr>
        <w:t>Example</w:t>
      </w:r>
      <w:r>
        <w:t xml:space="preserve"> the seasonal demand for hotels and air transportation.</w:t>
      </w:r>
      <w:proofErr w:type="gramEnd"/>
    </w:p>
    <w:p w:rsidR="005F1B92" w:rsidRPr="005B4044" w:rsidRDefault="005F1B92" w:rsidP="00016B9B">
      <w:pPr>
        <w:jc w:val="both"/>
        <w:rPr>
          <w:sz w:val="12"/>
          <w:szCs w:val="12"/>
        </w:rPr>
      </w:pPr>
    </w:p>
    <w:p w:rsidR="00300783" w:rsidRPr="00300783" w:rsidRDefault="00300783" w:rsidP="00016B9B">
      <w:pPr>
        <w:jc w:val="both"/>
        <w:rPr>
          <w:i/>
        </w:rPr>
      </w:pPr>
      <w:r w:rsidRPr="00300783">
        <w:rPr>
          <w:i/>
        </w:rPr>
        <w:t>Primary Measures of Inflation</w:t>
      </w:r>
      <w:r>
        <w:rPr>
          <w:i/>
        </w:rPr>
        <w:t xml:space="preserve"> reported monthly by the U.S. Bureau of Labor Statistics</w:t>
      </w:r>
      <w:r>
        <w:rPr>
          <w:rStyle w:val="FootnoteReference"/>
          <w:i/>
        </w:rPr>
        <w:footnoteReference w:id="5"/>
      </w:r>
    </w:p>
    <w:p w:rsidR="00016B9B" w:rsidRDefault="00300783" w:rsidP="00016B9B">
      <w:pPr>
        <w:jc w:val="both"/>
      </w:pPr>
      <w:r w:rsidRPr="00300783">
        <w:rPr>
          <w:b/>
        </w:rPr>
        <w:t>Producer Price Index (PPI)</w:t>
      </w:r>
      <w:r>
        <w:t xml:space="preserve"> – measures </w:t>
      </w:r>
      <w:r w:rsidRPr="00300783">
        <w:t xml:space="preserve">changes in </w:t>
      </w:r>
      <w:r>
        <w:t xml:space="preserve">“wholesale prices” </w:t>
      </w:r>
      <w:r w:rsidRPr="00300783">
        <w:t>the selling prices received by domestic producers of goods and services</w:t>
      </w:r>
      <w:r>
        <w:t>.</w:t>
      </w:r>
      <w:r w:rsidR="00016B9B">
        <w:t xml:space="preserve">  </w:t>
      </w:r>
    </w:p>
    <w:p w:rsidR="00300783" w:rsidRDefault="00300783" w:rsidP="00016B9B">
      <w:pPr>
        <w:jc w:val="both"/>
      </w:pPr>
      <w:r w:rsidRPr="00300783">
        <w:rPr>
          <w:b/>
        </w:rPr>
        <w:t>Consumer Price Index (CPI)</w:t>
      </w:r>
      <w:r>
        <w:t xml:space="preserve"> – </w:t>
      </w:r>
      <w:r w:rsidR="00016B9B" w:rsidRPr="00016B9B">
        <w:t>measures inflation as experienced by consumers in their day-to-day living expenses</w:t>
      </w:r>
      <w:r w:rsidR="00016B9B">
        <w:t>.</w:t>
      </w:r>
      <w:r>
        <w:t xml:space="preserve"> </w:t>
      </w:r>
    </w:p>
    <w:p w:rsidR="00300783" w:rsidRDefault="00300783" w:rsidP="00016B9B">
      <w:pPr>
        <w:ind w:left="720"/>
        <w:jc w:val="both"/>
      </w:pPr>
      <w:r w:rsidRPr="00300783">
        <w:rPr>
          <w:b/>
        </w:rPr>
        <w:t>CPI-U</w:t>
      </w:r>
      <w:r>
        <w:t xml:space="preserve"> – measures the seasonally adjusted U.S. city average prices on all items for all urban consumers and </w:t>
      </w:r>
      <w:r w:rsidRPr="00300783">
        <w:t>is the index most often reported by the national media</w:t>
      </w:r>
      <w:r>
        <w:t>.</w:t>
      </w:r>
    </w:p>
    <w:p w:rsidR="00016B9B" w:rsidRPr="00016B9B" w:rsidRDefault="00016B9B" w:rsidP="00016B9B">
      <w:pPr>
        <w:jc w:val="both"/>
      </w:pPr>
      <w:r w:rsidRPr="00016B9B">
        <w:rPr>
          <w:b/>
        </w:rPr>
        <w:t>Other Measures of Inflation</w:t>
      </w:r>
      <w:r>
        <w:t xml:space="preserve">: </w:t>
      </w:r>
      <w:r w:rsidRPr="00016B9B">
        <w:t xml:space="preserve">the </w:t>
      </w:r>
      <w:r w:rsidRPr="00016B9B">
        <w:rPr>
          <w:i/>
        </w:rPr>
        <w:t>Employment Cost Index (ECI)</w:t>
      </w:r>
      <w:r w:rsidRPr="00016B9B">
        <w:t xml:space="preserve"> measures i</w:t>
      </w:r>
      <w:r>
        <w:t>nflation</w:t>
      </w:r>
      <w:r w:rsidRPr="00016B9B">
        <w:t xml:space="preserve"> in the labor market; the </w:t>
      </w:r>
      <w:r w:rsidRPr="00016B9B">
        <w:rPr>
          <w:i/>
        </w:rPr>
        <w:t>International Price Program</w:t>
      </w:r>
      <w:r w:rsidRPr="00016B9B">
        <w:t xml:space="preserve"> measures i</w:t>
      </w:r>
      <w:r>
        <w:t>nflation</w:t>
      </w:r>
      <w:r w:rsidRPr="00016B9B">
        <w:t xml:space="preserve"> for imports and exports; the </w:t>
      </w:r>
      <w:r w:rsidRPr="00016B9B">
        <w:rPr>
          <w:i/>
        </w:rPr>
        <w:t>Gross Domestic Product Deflator (GDP-Deflator)</w:t>
      </w:r>
      <w:r w:rsidRPr="00016B9B">
        <w:t xml:space="preserve"> measures combine the experience with inflation of governments (Federal, State and local), businesses, and consumers</w:t>
      </w:r>
      <w:r>
        <w:t>, and there</w:t>
      </w:r>
      <w:r w:rsidRPr="00016B9B">
        <w:t xml:space="preserve"> are </w:t>
      </w:r>
      <w:r w:rsidRPr="00016B9B">
        <w:rPr>
          <w:i/>
        </w:rPr>
        <w:t>additional specialized measures</w:t>
      </w:r>
      <w:r w:rsidRPr="00016B9B">
        <w:t>, such as measures of interest rates and measures of consumers' and business executives' inflation expectations.</w:t>
      </w:r>
    </w:p>
    <w:p w:rsidR="00300783" w:rsidRDefault="00300783" w:rsidP="00016B9B">
      <w:pPr>
        <w:jc w:val="both"/>
      </w:pPr>
    </w:p>
    <w:p w:rsidR="006B1C53" w:rsidRDefault="006B1C53" w:rsidP="00016B9B">
      <w:pPr>
        <w:jc w:val="both"/>
      </w:pPr>
      <w:proofErr w:type="gramStart"/>
      <w:r w:rsidRPr="006B1C53">
        <w:rPr>
          <w:b/>
        </w:rPr>
        <w:t xml:space="preserve">Inflation </w:t>
      </w:r>
      <w:r>
        <w:rPr>
          <w:b/>
        </w:rPr>
        <w:t>H</w:t>
      </w:r>
      <w:r w:rsidRPr="006B1C53">
        <w:rPr>
          <w:b/>
        </w:rPr>
        <w:t>edge</w:t>
      </w:r>
      <w:r>
        <w:t xml:space="preserve"> - </w:t>
      </w:r>
      <w:r w:rsidRPr="006B1C53">
        <w:t>An investment that is considered to provide protection against the decreased value of a currency.</w:t>
      </w:r>
      <w:proofErr w:type="gramEnd"/>
      <w:r w:rsidRPr="006B1C53">
        <w:t xml:space="preserve"> An inflation hedge typically involves investing in an asset that is expected to maintain or increase its value over a specified period of time.</w:t>
      </w:r>
      <w:r>
        <w:t xml:space="preserve">  Examples of assets that can </w:t>
      </w:r>
      <w:r w:rsidR="005B4044">
        <w:t xml:space="preserve">offset increases in prices include: Treasury Inflation Protected Securities (TIPS), </w:t>
      </w:r>
      <w:r w:rsidR="005B4044" w:rsidRPr="005B4044">
        <w:t xml:space="preserve">Series I U.S. savings bonds, </w:t>
      </w:r>
      <w:r w:rsidR="005B4044">
        <w:t>C</w:t>
      </w:r>
      <w:r w:rsidR="005B4044" w:rsidRPr="005B4044">
        <w:t>ommodities such as oil, metals (i.e. gold, silver, etc.)</w:t>
      </w:r>
      <w:r w:rsidR="005B4044">
        <w:t>,</w:t>
      </w:r>
      <w:r w:rsidR="005B4044" w:rsidRPr="005B4044">
        <w:t xml:space="preserve"> common stocks, real estate, and some asset-backed securities.</w:t>
      </w:r>
      <w:r w:rsidR="005B4044">
        <w:t xml:space="preserve">  </w:t>
      </w:r>
      <w:r w:rsidR="005B4044" w:rsidRPr="005B4044">
        <w:rPr>
          <w:i/>
        </w:rPr>
        <w:t xml:space="preserve">Some inflation hedges are more </w:t>
      </w:r>
      <w:r w:rsidR="005B4044">
        <w:rPr>
          <w:i/>
        </w:rPr>
        <w:t>effective than others.</w:t>
      </w:r>
    </w:p>
    <w:p w:rsidR="00213F2B" w:rsidRPr="00213F2B" w:rsidRDefault="005B4044" w:rsidP="009D774B">
      <w:pPr>
        <w:jc w:val="both"/>
      </w:pPr>
      <w:r w:rsidRPr="005B4044">
        <w:rPr>
          <w:b/>
        </w:rPr>
        <w:lastRenderedPageBreak/>
        <w:t>Treasury Inflat</w:t>
      </w:r>
      <w:r w:rsidRPr="005B4044">
        <w:rPr>
          <w:b/>
        </w:rPr>
        <w:t>ion Protected Securities (TIPS)</w:t>
      </w:r>
      <w:r>
        <w:t xml:space="preserve"> - are i</w:t>
      </w:r>
      <w:r w:rsidR="005F1B92">
        <w:t xml:space="preserve">nflation-indexed bonds </w:t>
      </w:r>
      <w:r>
        <w:t>that</w:t>
      </w:r>
      <w:r w:rsidR="005F1B92">
        <w:t xml:space="preserve"> were introduced in the U.S. in 1997.</w:t>
      </w:r>
      <w:r w:rsidR="005F1B92">
        <w:rPr>
          <w:rStyle w:val="FootnoteReference"/>
        </w:rPr>
        <w:footnoteReference w:id="6"/>
      </w:r>
      <w:r w:rsidR="005F1B92">
        <w:t xml:space="preserve">  The principal amount on these bonds is adjusted in proportion to the Consumer Price Index (CPI).</w:t>
      </w:r>
      <w:r w:rsidR="00A57CAB">
        <w:rPr>
          <w:rStyle w:val="FootnoteReference"/>
        </w:rPr>
        <w:footnoteReference w:id="7"/>
      </w:r>
      <w:r w:rsidR="009D774B">
        <w:t xml:space="preserve"> </w:t>
      </w:r>
      <w:r w:rsidR="009D774B" w:rsidRPr="009D774B">
        <w:rPr>
          <w:i/>
        </w:rPr>
        <w:t>Note</w:t>
      </w:r>
      <w:r w:rsidR="009D774B">
        <w:t>: One challenge with TIPS is that current rates are very low</w:t>
      </w:r>
      <w:r w:rsidR="00213F2B" w:rsidRPr="00213F2B">
        <w:t xml:space="preserve">—recently 0.125% </w:t>
      </w:r>
      <w:proofErr w:type="gramStart"/>
      <w:r w:rsidR="00213F2B" w:rsidRPr="00213F2B">
        <w:t>on a five-year TIPS</w:t>
      </w:r>
      <w:proofErr w:type="gramEnd"/>
      <w:r w:rsidR="00213F2B" w:rsidRPr="00213F2B">
        <w:t xml:space="preserve">. </w:t>
      </w:r>
      <w:r w:rsidR="009D774B">
        <w:t>Yes, i</w:t>
      </w:r>
      <w:r w:rsidR="00213F2B" w:rsidRPr="00213F2B">
        <w:t xml:space="preserve">ncreases in consumer prices push up the bond's redemption value at maturity, and the semiannual interest payments increase as the fixed interest rate is applied to a growing principal value. </w:t>
      </w:r>
      <w:r w:rsidR="00213F2B" w:rsidRPr="009D774B">
        <w:rPr>
          <w:i/>
        </w:rPr>
        <w:t>But</w:t>
      </w:r>
      <w:r w:rsidR="00213F2B" w:rsidRPr="00213F2B">
        <w:t xml:space="preserve"> if interest rates in the marketplace rise, investors may begin to demand higher yields on </w:t>
      </w:r>
      <w:r w:rsidR="00213F2B" w:rsidRPr="009D774B">
        <w:rPr>
          <w:i/>
        </w:rPr>
        <w:t>new TIPS</w:t>
      </w:r>
      <w:r w:rsidR="00213F2B" w:rsidRPr="00213F2B">
        <w:t>. And as with other bonds, those higher yields would depress the market prices of older bonds whose yields no longer look so attractive.</w:t>
      </w:r>
      <w:r w:rsidR="009D774B">
        <w:rPr>
          <w:rStyle w:val="FootnoteReference"/>
        </w:rPr>
        <w:footnoteReference w:id="8"/>
      </w:r>
    </w:p>
    <w:p w:rsidR="00213F2B" w:rsidRDefault="00213F2B" w:rsidP="00016B9B">
      <w:pPr>
        <w:jc w:val="both"/>
      </w:pPr>
    </w:p>
    <w:p w:rsidR="008B045F" w:rsidRDefault="005B4044" w:rsidP="00016B9B">
      <w:pPr>
        <w:jc w:val="both"/>
      </w:pPr>
      <w:r w:rsidRPr="008B045F">
        <w:rPr>
          <w:b/>
        </w:rPr>
        <w:t>U.S. Savings Bonds Series I</w:t>
      </w:r>
      <w:r>
        <w:t xml:space="preserve"> </w:t>
      </w:r>
      <w:r w:rsidR="009D774B" w:rsidRPr="009D774B">
        <w:rPr>
          <w:b/>
        </w:rPr>
        <w:t>(I Bonds)</w:t>
      </w:r>
      <w:r w:rsidR="009D774B">
        <w:t xml:space="preserve"> -</w:t>
      </w:r>
      <w:r w:rsidR="009D774B" w:rsidRPr="009D774B">
        <w:t xml:space="preserve"> have an annual interest rate that reflects the combined effects of a fixed rate and a semiannual inflation rate. They are an accrual-type security. Interest, if any, is added to the bond monthly and is paid when you cash the bond</w:t>
      </w:r>
      <w:r w:rsidR="009D774B">
        <w:t>.</w:t>
      </w:r>
      <w:r w:rsidR="009D774B">
        <w:rPr>
          <w:rStyle w:val="FootnoteReference"/>
        </w:rPr>
        <w:footnoteReference w:id="9"/>
      </w:r>
    </w:p>
    <w:p w:rsidR="009D774B" w:rsidRDefault="009D774B" w:rsidP="00016B9B">
      <w:pPr>
        <w:jc w:val="both"/>
      </w:pPr>
    </w:p>
    <w:p w:rsidR="009D774B" w:rsidRDefault="009D774B" w:rsidP="00016B9B">
      <w:pPr>
        <w:jc w:val="both"/>
      </w:pPr>
      <w:r w:rsidRPr="009D774B">
        <w:rPr>
          <w:b/>
        </w:rPr>
        <w:t xml:space="preserve">Corporate Inflation-linked </w:t>
      </w:r>
      <w:r>
        <w:rPr>
          <w:b/>
        </w:rPr>
        <w:t>B</w:t>
      </w:r>
      <w:r w:rsidRPr="009D774B">
        <w:rPr>
          <w:b/>
        </w:rPr>
        <w:t>onds</w:t>
      </w:r>
      <w:r>
        <w:t xml:space="preserve"> - </w:t>
      </w:r>
      <w:r w:rsidRPr="009D774B">
        <w:t>Corporate debt financing securities that offer their holders protection against fluctuations in the rate of inflation as measured by the consumer price index (CPI). The yields of these securities adjust monthly with respect to the current rate of inflation.</w:t>
      </w:r>
      <w:r>
        <w:rPr>
          <w:rStyle w:val="FootnoteReference"/>
        </w:rPr>
        <w:footnoteReference w:id="10"/>
      </w:r>
    </w:p>
    <w:p w:rsidR="008B045F" w:rsidRDefault="008B045F" w:rsidP="00016B9B">
      <w:pPr>
        <w:jc w:val="both"/>
      </w:pPr>
    </w:p>
    <w:p w:rsidR="008B045F" w:rsidRDefault="008B045F" w:rsidP="00016B9B">
      <w:pPr>
        <w:jc w:val="both"/>
      </w:pPr>
      <w:r w:rsidRPr="008B045F">
        <w:rPr>
          <w:b/>
        </w:rPr>
        <w:t>Commodities</w:t>
      </w:r>
      <w:r>
        <w:t xml:space="preserve"> –</w:t>
      </w:r>
      <w:r w:rsidR="0051191D">
        <w:t xml:space="preserve"> </w:t>
      </w:r>
      <w:r>
        <w:t xml:space="preserve">Oil (stocks, ETFs) Gold and other precious metals (stocks, ETFs) can also function as a hedge against inflation.  </w:t>
      </w:r>
      <w:r w:rsidRPr="008B045F">
        <w:t>In general, commodities/hard assets are negatively correlated to both stocks and bonds. In other words, when stocks and bonds decline, commodities tend to appreciate</w:t>
      </w:r>
      <w:r>
        <w:t>.</w:t>
      </w:r>
      <w:r>
        <w:rPr>
          <w:rStyle w:val="FootnoteReference"/>
        </w:rPr>
        <w:footnoteReference w:id="11"/>
      </w:r>
      <w:r w:rsidR="0051191D">
        <w:t xml:space="preserve"> </w:t>
      </w:r>
      <w:r w:rsidR="00EE3DA7" w:rsidRPr="00EE3DA7">
        <w:t xml:space="preserve">Energy stocks </w:t>
      </w:r>
      <w:r w:rsidR="00EE3DA7">
        <w:t>as well as</w:t>
      </w:r>
      <w:r w:rsidR="00EE3DA7" w:rsidRPr="00EE3DA7">
        <w:t xml:space="preserve"> agriculture, mining, and clean technology sectors </w:t>
      </w:r>
      <w:r w:rsidR="00EE3DA7">
        <w:t>can offer inflation protection.</w:t>
      </w:r>
      <w:r w:rsidR="00D42061">
        <w:rPr>
          <w:rStyle w:val="FootnoteReference"/>
        </w:rPr>
        <w:footnoteReference w:id="12"/>
      </w:r>
      <w:r w:rsidR="00EE3DA7">
        <w:t xml:space="preserve">  </w:t>
      </w:r>
      <w:r w:rsidR="0051191D">
        <w:t>Note: while g</w:t>
      </w:r>
      <w:r w:rsidR="0051191D" w:rsidRPr="0051191D">
        <w:t>old is the classic inflation hedge</w:t>
      </w:r>
      <w:r w:rsidR="0051191D">
        <w:t xml:space="preserve"> there are arguments regarding its effectiveness as an inflation hedge.</w:t>
      </w:r>
    </w:p>
    <w:p w:rsidR="008B045F" w:rsidRDefault="008B045F" w:rsidP="00016B9B">
      <w:pPr>
        <w:jc w:val="both"/>
      </w:pPr>
    </w:p>
    <w:p w:rsidR="008B045F" w:rsidRDefault="008B045F" w:rsidP="00EE3DA7">
      <w:pPr>
        <w:jc w:val="both"/>
      </w:pPr>
      <w:r w:rsidRPr="001A6390">
        <w:rPr>
          <w:b/>
        </w:rPr>
        <w:t>Common Stocks</w:t>
      </w:r>
      <w:r w:rsidR="001A6390">
        <w:rPr>
          <w:rStyle w:val="FootnoteReference"/>
          <w:b/>
        </w:rPr>
        <w:footnoteReference w:id="13"/>
      </w:r>
      <w:r>
        <w:t xml:space="preserve"> - </w:t>
      </w:r>
      <w:r w:rsidR="001A6390">
        <w:t>g</w:t>
      </w:r>
      <w:r w:rsidR="001A6390" w:rsidRPr="001A6390">
        <w:t xml:space="preserve">iven that it represents a claim to real resources, the return on a common stock is positively correlated with the rate of inflation, </w:t>
      </w:r>
      <w:r w:rsidR="001A6390" w:rsidRPr="00C3690C">
        <w:rPr>
          <w:i/>
        </w:rPr>
        <w:t>over long periods of time</w:t>
      </w:r>
      <w:r w:rsidR="001A6390" w:rsidRPr="001A6390">
        <w:t>, as the value of the resources g</w:t>
      </w:r>
      <w:r w:rsidR="001A6390">
        <w:t>enerally rises with inflation.</w:t>
      </w:r>
      <w:r w:rsidR="001A6390">
        <w:rPr>
          <w:rStyle w:val="FootnoteReference"/>
        </w:rPr>
        <w:footnoteReference w:id="14"/>
      </w:r>
      <w:r w:rsidR="001A6390">
        <w:t>,</w:t>
      </w:r>
      <w:r w:rsidR="001A6390">
        <w:rPr>
          <w:rStyle w:val="FootnoteReference"/>
        </w:rPr>
        <w:footnoteReference w:id="15"/>
      </w:r>
      <w:r w:rsidR="001A6390">
        <w:t xml:space="preserve"> </w:t>
      </w:r>
      <w:r w:rsidR="00EE3DA7">
        <w:t>C</w:t>
      </w:r>
      <w:r w:rsidR="00EE3DA7" w:rsidRPr="00EE3DA7">
        <w:t>ompanies are to a greater or lesser extent able to raise prices (i.e., pass on rising costs to their customers)</w:t>
      </w:r>
      <w:r w:rsidR="00EE3DA7">
        <w:t xml:space="preserve"> t</w:t>
      </w:r>
      <w:r w:rsidR="00EE3DA7" w:rsidRPr="00EE3DA7">
        <w:t>hus, earnings tend to increase with inflation.</w:t>
      </w:r>
      <w:r w:rsidR="00EE3DA7">
        <w:rPr>
          <w:rStyle w:val="FootnoteReference"/>
        </w:rPr>
        <w:footnoteReference w:id="16"/>
      </w:r>
      <w:r w:rsidR="00EE3DA7">
        <w:t xml:space="preserve">  </w:t>
      </w:r>
      <w:r w:rsidR="00C3690C">
        <w:t>Note, i</w:t>
      </w:r>
      <w:r w:rsidR="001A6390">
        <w:t>n the short-run, the relation between stock prices and the rate of inflation is complicated and unclear</w:t>
      </w:r>
      <w:r w:rsidR="001A6390">
        <w:t>.</w:t>
      </w:r>
      <w:r w:rsidR="0051191D">
        <w:rPr>
          <w:rStyle w:val="FootnoteReference"/>
        </w:rPr>
        <w:footnoteReference w:id="17"/>
      </w:r>
      <w:r w:rsidR="00C3690C">
        <w:t xml:space="preserve"> </w:t>
      </w:r>
    </w:p>
    <w:p w:rsidR="001A6390" w:rsidRDefault="001A6390" w:rsidP="00016B9B">
      <w:pPr>
        <w:jc w:val="both"/>
      </w:pPr>
    </w:p>
    <w:p w:rsidR="008B045F" w:rsidRDefault="001A6390" w:rsidP="00190CBA">
      <w:pPr>
        <w:jc w:val="both"/>
      </w:pPr>
      <w:r w:rsidRPr="00C3690C">
        <w:rPr>
          <w:b/>
        </w:rPr>
        <w:lastRenderedPageBreak/>
        <w:t>Real Estate</w:t>
      </w:r>
      <w:r>
        <w:t xml:space="preserve"> - </w:t>
      </w:r>
      <w:r w:rsidR="00C3690C" w:rsidRPr="00C3690C">
        <w:t>Over short term periods</w:t>
      </w:r>
      <w:r w:rsidR="00C3690C">
        <w:t xml:space="preserve"> (up to 5 years)</w:t>
      </w:r>
      <w:r w:rsidR="00C3690C" w:rsidRPr="00C3690C">
        <w:t>, commercial real estate returns have been modestly correlated with inflation demonstrating their “inflation hedging” capacity.</w:t>
      </w:r>
      <w:r w:rsidR="00C3690C">
        <w:t xml:space="preserve">  </w:t>
      </w:r>
      <w:r w:rsidR="00C3690C">
        <w:t xml:space="preserve">Commercial real estate investments have specific characteristics that can help them keep pace with inflation. </w:t>
      </w:r>
      <w:r w:rsidR="00C3690C">
        <w:t>First, r</w:t>
      </w:r>
      <w:r w:rsidR="00C3690C">
        <w:t xml:space="preserve">ent on a shorter-term lease is likely to catch up to inflation more quickly than the rent on a longer-term lease, though longer-term leases often include step-ups in rent </w:t>
      </w:r>
      <w:r w:rsidR="00C3690C">
        <w:t>(</w:t>
      </w:r>
      <w:r w:rsidR="00C3690C">
        <w:t>sometimes explicitly tied to the inflation rate</w:t>
      </w:r>
      <w:r w:rsidR="00C3690C">
        <w:t>)</w:t>
      </w:r>
      <w:r w:rsidR="00C3690C">
        <w:t xml:space="preserve">. </w:t>
      </w:r>
      <w:r w:rsidR="00C3690C">
        <w:t>S</w:t>
      </w:r>
      <w:r w:rsidR="00C3690C">
        <w:t>ome leases allow property owners to pass through all expenses to their tenants.</w:t>
      </w:r>
      <w:r w:rsidR="00C3690C">
        <w:t xml:space="preserve">  Second, p</w:t>
      </w:r>
      <w:r w:rsidR="00C3690C">
        <w:t xml:space="preserve">roperty values </w:t>
      </w:r>
      <w:r w:rsidR="00C3690C">
        <w:t>increase when</w:t>
      </w:r>
      <w:r w:rsidR="00C3690C">
        <w:t xml:space="preserve"> the economy is growing</w:t>
      </w:r>
      <w:r w:rsidR="00C3690C">
        <w:t>. Note t</w:t>
      </w:r>
      <w:r w:rsidR="00C3690C">
        <w:t>hese traits are most powerful wh</w:t>
      </w:r>
      <w:r w:rsidR="00C3690C">
        <w:t>en supply conditions are tight.</w:t>
      </w:r>
      <w:r w:rsidR="00C3690C">
        <w:rPr>
          <w:rStyle w:val="FootnoteReference"/>
        </w:rPr>
        <w:footnoteReference w:id="18"/>
      </w:r>
      <w:r w:rsidR="00190CBA">
        <w:t xml:space="preserve"> </w:t>
      </w:r>
      <w:r w:rsidR="00190CBA">
        <w:t>Investment in commercial real estate is accessible through publicly traded</w:t>
      </w:r>
      <w:r w:rsidR="00190CBA">
        <w:t xml:space="preserve"> </w:t>
      </w:r>
      <w:r w:rsidR="00190CBA">
        <w:t>entities such as real estate investment trusts (REITs).</w:t>
      </w:r>
    </w:p>
    <w:p w:rsidR="00C3690C" w:rsidRDefault="00C3690C" w:rsidP="00016B9B">
      <w:pPr>
        <w:jc w:val="both"/>
      </w:pPr>
    </w:p>
    <w:p w:rsidR="00EE3DA7" w:rsidRPr="00EE3DA7" w:rsidRDefault="00C3690C" w:rsidP="00063BDA">
      <w:pPr>
        <w:jc w:val="both"/>
      </w:pPr>
      <w:r w:rsidRPr="009D774B">
        <w:rPr>
          <w:b/>
        </w:rPr>
        <w:t>Asset-backed Securities</w:t>
      </w:r>
      <w:r>
        <w:t xml:space="preserve"> </w:t>
      </w:r>
      <w:r w:rsidR="0051191D">
        <w:t>–</w:t>
      </w:r>
      <w:r>
        <w:t xml:space="preserve"> </w:t>
      </w:r>
      <w:r w:rsidR="00A57CAB">
        <w:t xml:space="preserve">(a.k.a. pass-through securities) </w:t>
      </w:r>
      <w:r w:rsidR="00A57CAB">
        <w:t>A pool of securities backed by a package of assets. A servicing intermediary collects the monthly payments from issuers and, after deducting a fee, remits or passes them through to the holders of the pass-through security. The most common type of pass-through is a mortgage-backed certificate, where homeowners' payments pass from the original bank through a government agency or investment bank to investors.</w:t>
      </w:r>
      <w:r w:rsidR="00A57CAB">
        <w:rPr>
          <w:rStyle w:val="FootnoteReference"/>
        </w:rPr>
        <w:footnoteReference w:id="19"/>
      </w:r>
      <w:r w:rsidR="00A57CAB">
        <w:t xml:space="preserve"> </w:t>
      </w:r>
      <w:r w:rsidR="00063BDA">
        <w:t>For example with bank loans that are</w:t>
      </w:r>
      <w:r w:rsidR="00EE3DA7">
        <w:t xml:space="preserve"> </w:t>
      </w:r>
      <w:r w:rsidR="00063BDA">
        <w:t xml:space="preserve">floating-rate loans, </w:t>
      </w:r>
      <w:r w:rsidR="00EE3DA7" w:rsidRPr="00EE3DA7">
        <w:t>if inflation and interest rates tick up, banks have the ability to raise rates (typically quarterly) on the loans outstanding.</w:t>
      </w:r>
    </w:p>
    <w:p w:rsidR="00EE3DA7" w:rsidRDefault="00EE3DA7" w:rsidP="00016B9B">
      <w:pPr>
        <w:jc w:val="both"/>
      </w:pPr>
    </w:p>
    <w:p w:rsidR="0051191D" w:rsidRDefault="0051191D" w:rsidP="00016B9B">
      <w:pPr>
        <w:jc w:val="both"/>
      </w:pPr>
      <w:r w:rsidRPr="0051191D">
        <w:rPr>
          <w:b/>
        </w:rPr>
        <w:t>Art</w:t>
      </w:r>
      <w:r>
        <w:t xml:space="preserve"> - </w:t>
      </w:r>
      <w:r w:rsidRPr="0051191D">
        <w:t>performance during times of inflation and rising interest rate</w:t>
      </w:r>
      <w:bookmarkStart w:id="0" w:name="_GoBack"/>
      <w:bookmarkEnd w:id="0"/>
      <w:r w:rsidRPr="0051191D">
        <w:t>s has been excellent, easily outperforming stocks during those times</w:t>
      </w:r>
      <w:r>
        <w:t>. M</w:t>
      </w:r>
      <w:r w:rsidRPr="0051191D">
        <w:t>any European aristocrats have preserved their wealth this way for generations.  And art is much more enjoyable to have around the house than a pile of gold bars</w:t>
      </w:r>
      <w:r>
        <w:t>.</w:t>
      </w:r>
      <w:r>
        <w:rPr>
          <w:rStyle w:val="FootnoteReference"/>
        </w:rPr>
        <w:footnoteReference w:id="20"/>
      </w:r>
    </w:p>
    <w:p w:rsidR="0051191D" w:rsidRDefault="0051191D" w:rsidP="00016B9B">
      <w:pPr>
        <w:jc w:val="both"/>
      </w:pPr>
    </w:p>
    <w:p w:rsidR="0051191D" w:rsidRDefault="0051191D" w:rsidP="0051191D">
      <w:r w:rsidRPr="0051191D">
        <w:rPr>
          <w:b/>
        </w:rPr>
        <w:t>Timber</w:t>
      </w:r>
      <w:r w:rsidRPr="0051191D">
        <w:t xml:space="preserve"> </w:t>
      </w:r>
      <w:r>
        <w:t xml:space="preserve">- </w:t>
      </w:r>
      <w:r w:rsidRPr="0051191D">
        <w:t>is a favorite of Harvard</w:t>
      </w:r>
      <w:r>
        <w:t xml:space="preserve">.  </w:t>
      </w:r>
      <w:r w:rsidRPr="0051191D">
        <w:t>It’s fully renewable, generates annual income, and has solid fundamental support: as the world’s middle classes grow, its use in homebuilding does too</w:t>
      </w:r>
      <w:r>
        <w:t xml:space="preserve">. </w:t>
      </w:r>
      <w:r w:rsidR="00A57CAB">
        <w:t>T</w:t>
      </w:r>
      <w:r w:rsidRPr="0051191D">
        <w:t>he most interesting thing about trees is the way you can “store on the stump.”  Instead of selling in a bad year, when the market down, you can just defer the harvest and let them get bigger.  With commercial real estate, a year of lost income is lo</w:t>
      </w:r>
      <w:r>
        <w:t>st forever; not so with timber.</w:t>
      </w:r>
      <w:r w:rsidR="00A57CAB" w:rsidRPr="00A57CAB">
        <w:rPr>
          <w:rStyle w:val="FootnoteReference"/>
        </w:rPr>
        <w:t xml:space="preserve"> </w:t>
      </w:r>
      <w:r w:rsidR="00A57CAB">
        <w:rPr>
          <w:rStyle w:val="FootnoteReference"/>
        </w:rPr>
        <w:footnoteReference w:id="21"/>
      </w:r>
    </w:p>
    <w:p w:rsidR="0051191D" w:rsidRDefault="0051191D" w:rsidP="0051191D"/>
    <w:p w:rsidR="0051191D" w:rsidRDefault="0051191D" w:rsidP="0051191D">
      <w:r w:rsidRPr="0051191D">
        <w:rPr>
          <w:b/>
        </w:rPr>
        <w:t>Farmland</w:t>
      </w:r>
      <w:r w:rsidRPr="0051191D">
        <w:t xml:space="preserve"> </w:t>
      </w:r>
      <w:r w:rsidR="00A57CAB">
        <w:t>-</w:t>
      </w:r>
      <w:r w:rsidRPr="0051191D">
        <w:t xml:space="preserve"> requires more current investment and management, and you do have to sell crops into bad markets periodically. It, too, has fundamentals going for it: the same growing middle classes that need to build homes demand more protein in their diets, so requiring more food for both peopl</w:t>
      </w:r>
      <w:r w:rsidR="00A57CAB">
        <w:t xml:space="preserve">e and animals. </w:t>
      </w:r>
      <w:r w:rsidRPr="0051191D">
        <w:t>(Just don’t forg</w:t>
      </w:r>
      <w:r>
        <w:t>et to buy that crop insurance!)</w:t>
      </w:r>
      <w:r w:rsidR="00A57CAB">
        <w:rPr>
          <w:rStyle w:val="FootnoteReference"/>
        </w:rPr>
        <w:footnoteReference w:id="22"/>
      </w:r>
    </w:p>
    <w:p w:rsidR="0051191D" w:rsidRDefault="0051191D" w:rsidP="0051191D"/>
    <w:p w:rsidR="0051191D" w:rsidRDefault="0051191D" w:rsidP="00190CBA">
      <w:pPr>
        <w:jc w:val="both"/>
      </w:pPr>
      <w:r w:rsidRPr="0051191D">
        <w:rPr>
          <w:b/>
        </w:rPr>
        <w:t>Infrastructure assets</w:t>
      </w:r>
      <w:r w:rsidRPr="0051191D">
        <w:t xml:space="preserve">, like toll roads, airports, </w:t>
      </w:r>
      <w:r w:rsidR="00190CBA">
        <w:t xml:space="preserve">ports, water utilities, </w:t>
      </w:r>
      <w:r w:rsidRPr="0051191D">
        <w:t>and p</w:t>
      </w:r>
      <w:r w:rsidR="00190CBA">
        <w:t xml:space="preserve">ower generation facilities offer </w:t>
      </w:r>
      <w:r w:rsidRPr="0051191D">
        <w:t>income and appreciate during inflation</w:t>
      </w:r>
      <w:r w:rsidR="00190CBA">
        <w:t>.</w:t>
      </w:r>
      <w:r w:rsidR="00190CBA">
        <w:t xml:space="preserve"> As with real estate, the </w:t>
      </w:r>
      <w:r w:rsidR="00190CBA">
        <w:t>r</w:t>
      </w:r>
      <w:r w:rsidR="00190CBA">
        <w:t>eplacement value of the infrastructure assets</w:t>
      </w:r>
      <w:r w:rsidR="00190CBA">
        <w:t xml:space="preserve"> </w:t>
      </w:r>
      <w:r w:rsidR="00190CBA">
        <w:t xml:space="preserve">increases with inflation. </w:t>
      </w:r>
      <w:r w:rsidR="00190CBA">
        <w:t>In addition</w:t>
      </w:r>
      <w:r w:rsidR="00190CBA">
        <w:t>, because many global infrastructure companies</w:t>
      </w:r>
      <w:r w:rsidR="00190CBA">
        <w:t xml:space="preserve"> </w:t>
      </w:r>
      <w:r w:rsidR="00190CBA">
        <w:t>are highly regulated, the contracts they sign often call for adjustments to prices in</w:t>
      </w:r>
      <w:r w:rsidR="00190CBA">
        <w:t xml:space="preserve"> </w:t>
      </w:r>
      <w:r w:rsidR="00190CBA">
        <w:t>response to changes in the local inflation rate.</w:t>
      </w:r>
      <w:r w:rsidR="00190CBA">
        <w:rPr>
          <w:rStyle w:val="FootnoteReference"/>
        </w:rPr>
        <w:footnoteReference w:id="23"/>
      </w:r>
      <w:r w:rsidR="00190CBA">
        <w:t xml:space="preserve"> </w:t>
      </w:r>
    </w:p>
    <w:p w:rsidR="00C3690C" w:rsidRDefault="00C3690C" w:rsidP="00016B9B">
      <w:pPr>
        <w:jc w:val="both"/>
      </w:pPr>
    </w:p>
    <w:p w:rsidR="00213F2B" w:rsidRDefault="00213F2B" w:rsidP="00016B9B">
      <w:pPr>
        <w:jc w:val="both"/>
      </w:pPr>
      <w:r w:rsidRPr="00190CBA">
        <w:rPr>
          <w:b/>
        </w:rPr>
        <w:lastRenderedPageBreak/>
        <w:t>Foreign Currencies</w:t>
      </w:r>
      <w:r>
        <w:t xml:space="preserve"> –</w:t>
      </w:r>
      <w:r w:rsidR="00190CBA">
        <w:t xml:space="preserve"> when the prices of goods from a country rise, the country’s currency will generally increase in value.  If the currency increases in value it can potentially offset increases in prices of inputs</w:t>
      </w:r>
      <w:r w:rsidR="00A602C7">
        <w:t xml:space="preserve"> (cost push inflation)</w:t>
      </w:r>
      <w:r w:rsidR="00190CBA">
        <w:t>.</w:t>
      </w:r>
      <w:r w:rsidR="00A602C7">
        <w:t xml:space="preserve">  Examples of “commodity currencies” include the Canadian dollar (CAD), </w:t>
      </w:r>
      <w:r w:rsidR="00A602C7" w:rsidRPr="00A602C7">
        <w:t>Norwegian krone</w:t>
      </w:r>
      <w:r w:rsidR="00A602C7">
        <w:t xml:space="preserve"> (NOK) and the Brazilian Real (BRL).</w:t>
      </w:r>
      <w:r w:rsidR="00A602C7">
        <w:rPr>
          <w:rStyle w:val="FootnoteReference"/>
        </w:rPr>
        <w:footnoteReference w:id="24"/>
      </w:r>
    </w:p>
    <w:p w:rsidR="00213F2B" w:rsidRDefault="00213F2B" w:rsidP="00016B9B">
      <w:pPr>
        <w:jc w:val="both"/>
      </w:pPr>
    </w:p>
    <w:p w:rsidR="00213F2B" w:rsidRDefault="00213F2B" w:rsidP="00016B9B">
      <w:pPr>
        <w:jc w:val="both"/>
      </w:pPr>
      <w:r w:rsidRPr="00A57CAB">
        <w:rPr>
          <w:b/>
        </w:rPr>
        <w:t>Intellectual Property</w:t>
      </w:r>
      <w:r>
        <w:t xml:space="preserve"> – </w:t>
      </w:r>
      <w:r w:rsidR="00A57CAB">
        <w:t>some analysts argue that it makes sense to buy securities in firms with intellectual property rights. The argument goes that “r</w:t>
      </w:r>
      <w:r w:rsidR="00A57CAB" w:rsidRPr="00A57CAB">
        <w:t>oyalty fees are tied to the average selling price of the product in which they have intellectual property, such as a smartphone. So as more handsets are sold, and the cost structure doesn't really go up for that intellectual-property holder, the company has the potential to maintain, or even expand, profit margins</w:t>
      </w:r>
      <w:r w:rsidR="00A57CAB">
        <w:t>.”</w:t>
      </w:r>
      <w:r w:rsidR="00A57CAB">
        <w:rPr>
          <w:rStyle w:val="FootnoteReference"/>
        </w:rPr>
        <w:footnoteReference w:id="25"/>
      </w:r>
    </w:p>
    <w:p w:rsidR="00213F2B" w:rsidRDefault="00213F2B" w:rsidP="00016B9B">
      <w:pPr>
        <w:jc w:val="both"/>
      </w:pPr>
    </w:p>
    <w:p w:rsidR="00016B9B" w:rsidRPr="00C3690C" w:rsidRDefault="008B045F" w:rsidP="00016B9B">
      <w:pPr>
        <w:jc w:val="both"/>
        <w:rPr>
          <w:i/>
        </w:rPr>
      </w:pPr>
      <w:r w:rsidRPr="008B045F">
        <w:rPr>
          <w:i/>
        </w:rPr>
        <w:t xml:space="preserve">Finally if you were looking for an excuse to purchase another Cartier Watch, Artwork, </w:t>
      </w:r>
      <w:r w:rsidR="00C3690C">
        <w:rPr>
          <w:i/>
        </w:rPr>
        <w:t xml:space="preserve">a </w:t>
      </w:r>
      <w:r w:rsidR="001A6390">
        <w:rPr>
          <w:i/>
        </w:rPr>
        <w:t xml:space="preserve">Gold necklace, </w:t>
      </w:r>
      <w:r w:rsidRPr="008B045F">
        <w:rPr>
          <w:i/>
        </w:rPr>
        <w:t>or other hard asset, here is your excuse (just promise me you are meeting your retirement goals too).</w:t>
      </w:r>
      <w:r w:rsidR="005B4044" w:rsidRPr="008B045F">
        <w:rPr>
          <w:i/>
        </w:rPr>
        <w:t xml:space="preserve"> </w:t>
      </w:r>
    </w:p>
    <w:p w:rsidR="00016B9B" w:rsidRDefault="00016B9B" w:rsidP="00016B9B">
      <w:pPr>
        <w:jc w:val="both"/>
      </w:pPr>
    </w:p>
    <w:p w:rsidR="006B1C53" w:rsidRDefault="006B1C53" w:rsidP="00016B9B">
      <w:pPr>
        <w:jc w:val="both"/>
      </w:pPr>
    </w:p>
    <w:p w:rsidR="005F1B92" w:rsidRDefault="005F1B92"/>
    <w:p w:rsidR="005F1B92" w:rsidRDefault="005F1B92"/>
    <w:sectPr w:rsidR="005F1B9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796" w:rsidRDefault="003C4796" w:rsidP="005F1B92">
      <w:r>
        <w:separator/>
      </w:r>
    </w:p>
  </w:endnote>
  <w:endnote w:type="continuationSeparator" w:id="0">
    <w:p w:rsidR="003C4796" w:rsidRDefault="003C4796" w:rsidP="005F1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609138"/>
      <w:docPartObj>
        <w:docPartGallery w:val="Page Numbers (Bottom of Page)"/>
        <w:docPartUnique/>
      </w:docPartObj>
    </w:sdtPr>
    <w:sdtEndPr>
      <w:rPr>
        <w:noProof/>
      </w:rPr>
    </w:sdtEndPr>
    <w:sdtContent>
      <w:p w:rsidR="005B4044" w:rsidRDefault="005B4044">
        <w:pPr>
          <w:pStyle w:val="Footer"/>
          <w:jc w:val="right"/>
        </w:pPr>
        <w:r>
          <w:fldChar w:fldCharType="begin"/>
        </w:r>
        <w:r>
          <w:instrText xml:space="preserve"> PAGE   \* MERGEFORMAT </w:instrText>
        </w:r>
        <w:r>
          <w:fldChar w:fldCharType="separate"/>
        </w:r>
        <w:r w:rsidR="00063BDA">
          <w:rPr>
            <w:noProof/>
          </w:rPr>
          <w:t>1</w:t>
        </w:r>
        <w:r>
          <w:rPr>
            <w:noProof/>
          </w:rPr>
          <w:fldChar w:fldCharType="end"/>
        </w:r>
      </w:p>
    </w:sdtContent>
  </w:sdt>
  <w:p w:rsidR="005B4044" w:rsidRDefault="005B40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796" w:rsidRDefault="003C4796" w:rsidP="005F1B92">
      <w:r>
        <w:separator/>
      </w:r>
    </w:p>
  </w:footnote>
  <w:footnote w:type="continuationSeparator" w:id="0">
    <w:p w:rsidR="003C4796" w:rsidRDefault="003C4796" w:rsidP="005F1B92">
      <w:r>
        <w:continuationSeparator/>
      </w:r>
    </w:p>
  </w:footnote>
  <w:footnote w:id="1">
    <w:p w:rsidR="00D25A57" w:rsidRDefault="00D25A57" w:rsidP="00D25A57">
      <w:pPr>
        <w:pStyle w:val="FootnoteText"/>
      </w:pPr>
      <w:r>
        <w:rPr>
          <w:rStyle w:val="FootnoteReference"/>
        </w:rPr>
        <w:footnoteRef/>
      </w:r>
      <w:r>
        <w:t xml:space="preserve"> See HBS Case, “Treasury Inflation-Protected Securities,” July 1, 1997.</w:t>
      </w:r>
    </w:p>
  </w:footnote>
  <w:footnote w:id="2">
    <w:p w:rsidR="00CE7D3E" w:rsidRDefault="00CE7D3E">
      <w:pPr>
        <w:pStyle w:val="FootnoteText"/>
      </w:pPr>
      <w:r>
        <w:rPr>
          <w:rStyle w:val="FootnoteReference"/>
        </w:rPr>
        <w:footnoteRef/>
      </w:r>
      <w:r>
        <w:t xml:space="preserve"> </w:t>
      </w:r>
      <w:r>
        <w:t xml:space="preserve">See </w:t>
      </w:r>
      <w:r w:rsidRPr="008C5764">
        <w:rPr>
          <w:u w:val="single"/>
        </w:rPr>
        <w:t>Essentials of Investments</w:t>
      </w:r>
      <w:r w:rsidRPr="008C5764">
        <w:t xml:space="preserve">, 9th edition by </w:t>
      </w:r>
      <w:proofErr w:type="spellStart"/>
      <w:r w:rsidRPr="008C5764">
        <w:t>Zvi</w:t>
      </w:r>
      <w:proofErr w:type="spellEnd"/>
      <w:r w:rsidRPr="008C5764">
        <w:t xml:space="preserve"> </w:t>
      </w:r>
      <w:proofErr w:type="spellStart"/>
      <w:r w:rsidRPr="008C5764">
        <w:t>Bodie</w:t>
      </w:r>
      <w:proofErr w:type="spellEnd"/>
      <w:r w:rsidRPr="008C5764">
        <w:t xml:space="preserve">, Alex Kane, and Alan J. Marcus, Chapter </w:t>
      </w:r>
      <w:r>
        <w:t>21</w:t>
      </w:r>
      <w:r>
        <w:t>, p.</w:t>
      </w:r>
      <w:r>
        <w:t>691</w:t>
      </w:r>
      <w:r w:rsidRPr="008C5764">
        <w:t>.</w:t>
      </w:r>
    </w:p>
  </w:footnote>
  <w:footnote w:id="3">
    <w:p w:rsidR="005F1B92" w:rsidRDefault="005F1B92">
      <w:pPr>
        <w:pStyle w:val="FootnoteText"/>
      </w:pPr>
      <w:r>
        <w:rPr>
          <w:rStyle w:val="FootnoteReference"/>
        </w:rPr>
        <w:footnoteRef/>
      </w:r>
      <w:r>
        <w:t xml:space="preserve"> </w:t>
      </w:r>
      <w:r w:rsidRPr="005F1B92">
        <w:t>The goals of monetary policy are spelled out in the Federal Reserve Act, which specifies that the Board of Governors and the Federal Open</w:t>
      </w:r>
      <w:r>
        <w:t xml:space="preserve"> Market Committee should seek “</w:t>
      </w:r>
      <w:r w:rsidRPr="005F1B92">
        <w:t>to promote effectively the goals of maxi-mum employment, stable prices, and mod</w:t>
      </w:r>
      <w:r>
        <w:t xml:space="preserve">erate long-term interest rates.” </w:t>
      </w:r>
      <w:r w:rsidRPr="005F1B92">
        <w:t>http://www.federalreserve.gov/pf/pdf/pf_2.pdf</w:t>
      </w:r>
    </w:p>
  </w:footnote>
  <w:footnote w:id="4">
    <w:p w:rsidR="00D25A57" w:rsidRDefault="00D25A57">
      <w:pPr>
        <w:pStyle w:val="FootnoteText"/>
      </w:pPr>
      <w:r>
        <w:rPr>
          <w:rStyle w:val="FootnoteReference"/>
        </w:rPr>
        <w:footnoteRef/>
      </w:r>
      <w:r>
        <w:t xml:space="preserve"> See HBS Case, “Treasury Inflation-Protected Securities,” July 1, 1997.</w:t>
      </w:r>
    </w:p>
  </w:footnote>
  <w:footnote w:id="5">
    <w:p w:rsidR="00300783" w:rsidRDefault="00300783">
      <w:pPr>
        <w:pStyle w:val="FootnoteText"/>
      </w:pPr>
      <w:r>
        <w:rPr>
          <w:rStyle w:val="FootnoteReference"/>
        </w:rPr>
        <w:footnoteRef/>
      </w:r>
      <w:r>
        <w:t xml:space="preserve"> </w:t>
      </w:r>
      <w:r w:rsidRPr="00300783">
        <w:t>http://www.bls.gov/bls/inflation.htm</w:t>
      </w:r>
    </w:p>
  </w:footnote>
  <w:footnote w:id="6">
    <w:p w:rsidR="005F1B92" w:rsidRDefault="005F1B92">
      <w:pPr>
        <w:pStyle w:val="FootnoteText"/>
      </w:pPr>
      <w:r>
        <w:rPr>
          <w:rStyle w:val="FootnoteReference"/>
        </w:rPr>
        <w:footnoteRef/>
      </w:r>
      <w:r>
        <w:t xml:space="preserve"> </w:t>
      </w:r>
      <w:r>
        <w:t xml:space="preserve">See </w:t>
      </w:r>
      <w:r w:rsidRPr="008C5764">
        <w:rPr>
          <w:u w:val="single"/>
        </w:rPr>
        <w:t>Essentials of Investments</w:t>
      </w:r>
      <w:r w:rsidRPr="008C5764">
        <w:t xml:space="preserve">, 9th edition by </w:t>
      </w:r>
      <w:proofErr w:type="spellStart"/>
      <w:r w:rsidRPr="008C5764">
        <w:t>Zvi</w:t>
      </w:r>
      <w:proofErr w:type="spellEnd"/>
      <w:r w:rsidRPr="008C5764">
        <w:t xml:space="preserve"> </w:t>
      </w:r>
      <w:proofErr w:type="spellStart"/>
      <w:r w:rsidRPr="008C5764">
        <w:t>Bodie</w:t>
      </w:r>
      <w:proofErr w:type="spellEnd"/>
      <w:r w:rsidRPr="008C5764">
        <w:t xml:space="preserve">, Alex Kane, and Alan J. Marcus, Chapter </w:t>
      </w:r>
      <w:r>
        <w:t>5, p.132</w:t>
      </w:r>
      <w:r w:rsidRPr="008C5764">
        <w:t>.</w:t>
      </w:r>
    </w:p>
  </w:footnote>
  <w:footnote w:id="7">
    <w:p w:rsidR="00A57CAB" w:rsidRDefault="00A57CAB">
      <w:pPr>
        <w:pStyle w:val="FootnoteText"/>
      </w:pPr>
      <w:r>
        <w:rPr>
          <w:rStyle w:val="FootnoteReference"/>
        </w:rPr>
        <w:footnoteRef/>
      </w:r>
      <w:r>
        <w:t xml:space="preserve"> </w:t>
      </w:r>
      <w:r w:rsidRPr="00A57CAB">
        <w:t>https://www.blackrock.com/institutions/en-us/literature/publication/blk-insights-hedging-properties-inflated.pdf</w:t>
      </w:r>
    </w:p>
  </w:footnote>
  <w:footnote w:id="8">
    <w:p w:rsidR="009D774B" w:rsidRDefault="009D774B">
      <w:pPr>
        <w:pStyle w:val="FootnoteText"/>
      </w:pPr>
      <w:r>
        <w:rPr>
          <w:rStyle w:val="FootnoteReference"/>
        </w:rPr>
        <w:footnoteRef/>
      </w:r>
      <w:r>
        <w:t xml:space="preserve"> </w:t>
      </w:r>
      <w:r w:rsidRPr="009D774B">
        <w:t>http://online.wsj.com/news/articles/SB10001424052748704662604576256912139434434</w:t>
      </w:r>
    </w:p>
  </w:footnote>
  <w:footnote w:id="9">
    <w:p w:rsidR="009D774B" w:rsidRDefault="009D774B">
      <w:pPr>
        <w:pStyle w:val="FootnoteText"/>
      </w:pPr>
      <w:r>
        <w:rPr>
          <w:rStyle w:val="FootnoteReference"/>
        </w:rPr>
        <w:footnoteRef/>
      </w:r>
      <w:r>
        <w:t xml:space="preserve"> </w:t>
      </w:r>
      <w:r w:rsidRPr="009D774B">
        <w:t>http://www.treasurydirect.gov/indiv/products/prod_ibonds_glance.htm</w:t>
      </w:r>
    </w:p>
  </w:footnote>
  <w:footnote w:id="10">
    <w:p w:rsidR="009D774B" w:rsidRDefault="009D774B">
      <w:pPr>
        <w:pStyle w:val="FootnoteText"/>
      </w:pPr>
      <w:r>
        <w:rPr>
          <w:rStyle w:val="FootnoteReference"/>
        </w:rPr>
        <w:footnoteRef/>
      </w:r>
      <w:r>
        <w:t xml:space="preserve"> </w:t>
      </w:r>
      <w:r w:rsidRPr="009D774B">
        <w:t>http://www.investopedia.com/terms/c/cils.asp</w:t>
      </w:r>
    </w:p>
  </w:footnote>
  <w:footnote w:id="11">
    <w:p w:rsidR="008B045F" w:rsidRDefault="008B045F">
      <w:pPr>
        <w:pStyle w:val="FootnoteText"/>
      </w:pPr>
      <w:r>
        <w:rPr>
          <w:rStyle w:val="FootnoteReference"/>
        </w:rPr>
        <w:footnoteRef/>
      </w:r>
      <w:r>
        <w:t xml:space="preserve"> </w:t>
      </w:r>
      <w:r w:rsidRPr="008B045F">
        <w:t>http://en.wikipedia.org/wiki/Inflation_hedge</w:t>
      </w:r>
    </w:p>
  </w:footnote>
  <w:footnote w:id="12">
    <w:p w:rsidR="00D42061" w:rsidRDefault="00D42061">
      <w:pPr>
        <w:pStyle w:val="FootnoteText"/>
      </w:pPr>
      <w:r>
        <w:rPr>
          <w:rStyle w:val="FootnoteReference"/>
        </w:rPr>
        <w:footnoteRef/>
      </w:r>
      <w:r>
        <w:t xml:space="preserve"> </w:t>
      </w:r>
      <w:r w:rsidRPr="00D42061">
        <w:t>http://www.harrismycfo.com/pdf/WS_PDF_5_harrismycfo_hedging_inflation_v1.pdf</w:t>
      </w:r>
    </w:p>
  </w:footnote>
  <w:footnote w:id="13">
    <w:p w:rsidR="001A6390" w:rsidRDefault="001A6390" w:rsidP="001A6390">
      <w:pPr>
        <w:pStyle w:val="FootnoteText"/>
      </w:pPr>
      <w:r>
        <w:rPr>
          <w:rStyle w:val="FootnoteReference"/>
        </w:rPr>
        <w:footnoteRef/>
      </w:r>
      <w:r>
        <w:t xml:space="preserve"> See “</w:t>
      </w:r>
      <w:r>
        <w:t>Common Stocks as a Hedge Against Inflation</w:t>
      </w:r>
      <w:r>
        <w:t xml:space="preserve">” by </w:t>
      </w:r>
      <w:proofErr w:type="spellStart"/>
      <w:r>
        <w:t>Zvi</w:t>
      </w:r>
      <w:proofErr w:type="spellEnd"/>
      <w:r>
        <w:t xml:space="preserve"> </w:t>
      </w:r>
      <w:proofErr w:type="spellStart"/>
      <w:r>
        <w:t>Bodie</w:t>
      </w:r>
      <w:proofErr w:type="spellEnd"/>
      <w:r>
        <w:t xml:space="preserve"> in </w:t>
      </w:r>
      <w:r w:rsidRPr="001A6390">
        <w:rPr>
          <w:i/>
        </w:rPr>
        <w:t>The Journal of Finance</w:t>
      </w:r>
      <w:r>
        <w:rPr>
          <w:i/>
        </w:rPr>
        <w:t xml:space="preserve">, </w:t>
      </w:r>
      <w:r>
        <w:t>Vol. 31, No. 2, (May, 1976), pp. 459-470</w:t>
      </w:r>
      <w:r>
        <w:t>.</w:t>
      </w:r>
    </w:p>
  </w:footnote>
  <w:footnote w:id="14">
    <w:p w:rsidR="001A6390" w:rsidRDefault="001A6390">
      <w:pPr>
        <w:pStyle w:val="FootnoteText"/>
      </w:pPr>
      <w:r>
        <w:rPr>
          <w:rStyle w:val="FootnoteReference"/>
        </w:rPr>
        <w:footnoteRef/>
      </w:r>
      <w:r>
        <w:t xml:space="preserve"> </w:t>
      </w:r>
      <w:r w:rsidRPr="001A6390">
        <w:t>http://seekingalpha.com/article/235249-stocks-as-an-inflation-hedge</w:t>
      </w:r>
    </w:p>
  </w:footnote>
  <w:footnote w:id="15">
    <w:p w:rsidR="001A6390" w:rsidRDefault="001A6390">
      <w:pPr>
        <w:pStyle w:val="FootnoteText"/>
      </w:pPr>
      <w:r>
        <w:rPr>
          <w:rStyle w:val="FootnoteReference"/>
        </w:rPr>
        <w:footnoteRef/>
      </w:r>
      <w:r>
        <w:t xml:space="preserve"> </w:t>
      </w:r>
      <w:r w:rsidRPr="001A6390">
        <w:t>http://realmoney.thestreet.com/articles/02/11/2013/best-hedge-against-inflation</w:t>
      </w:r>
    </w:p>
  </w:footnote>
  <w:footnote w:id="16">
    <w:p w:rsidR="00EE3DA7" w:rsidRDefault="00EE3DA7">
      <w:pPr>
        <w:pStyle w:val="FootnoteText"/>
      </w:pPr>
      <w:r>
        <w:rPr>
          <w:rStyle w:val="FootnoteReference"/>
        </w:rPr>
        <w:footnoteRef/>
      </w:r>
      <w:r>
        <w:t xml:space="preserve"> </w:t>
      </w:r>
      <w:r w:rsidRPr="00EE3DA7">
        <w:t>http://www.forbes.com/sites/greggfisher/2012/03/05/hedging-inflation/</w:t>
      </w:r>
    </w:p>
  </w:footnote>
  <w:footnote w:id="17">
    <w:p w:rsidR="0051191D" w:rsidRDefault="0051191D">
      <w:pPr>
        <w:pStyle w:val="FootnoteText"/>
      </w:pPr>
      <w:r>
        <w:rPr>
          <w:rStyle w:val="FootnoteReference"/>
        </w:rPr>
        <w:footnoteRef/>
      </w:r>
      <w:r>
        <w:t xml:space="preserve"> “[Gold]</w:t>
      </w:r>
      <w:r w:rsidRPr="0051191D">
        <w:t xml:space="preserve"> pays you nothing: no dividends, no interest, </w:t>
      </w:r>
      <w:proofErr w:type="gramStart"/>
      <w:r w:rsidRPr="0051191D">
        <w:t>no</w:t>
      </w:r>
      <w:proofErr w:type="gramEnd"/>
      <w:r w:rsidRPr="0051191D">
        <w:t xml:space="preserve"> nothing. It might look good around your neck, but if you buy enough of it, you're going to want to insure it and make sure it's locked up in a safe place. In other words, it costs you money to own</w:t>
      </w:r>
      <w:r>
        <w:t>…</w:t>
      </w:r>
      <w:r w:rsidRPr="0051191D">
        <w:t xml:space="preserve"> You can't eat gold, you can't cook with it, you can't light your home with it, you can't burn it to keep warm, </w:t>
      </w:r>
      <w:proofErr w:type="gramStart"/>
      <w:r w:rsidRPr="0051191D">
        <w:t>you</w:t>
      </w:r>
      <w:proofErr w:type="gramEnd"/>
      <w:r w:rsidRPr="0051191D">
        <w:t xml:space="preserve"> can't put it in your car to make it go. You can't even pay your taxes with it.</w:t>
      </w:r>
      <w:r>
        <w:t xml:space="preserve">” Quoted from TheStreet.com </w:t>
      </w:r>
      <w:r w:rsidRPr="0051191D">
        <w:t>http://realmoney.thestreet.com/articles/02/11/2013/best-hedge-against-inflation</w:t>
      </w:r>
    </w:p>
  </w:footnote>
  <w:footnote w:id="18">
    <w:p w:rsidR="00C3690C" w:rsidRDefault="00C3690C">
      <w:pPr>
        <w:pStyle w:val="FootnoteText"/>
      </w:pPr>
      <w:r>
        <w:rPr>
          <w:rStyle w:val="FootnoteReference"/>
        </w:rPr>
        <w:footnoteRef/>
      </w:r>
      <w:r>
        <w:t xml:space="preserve"> </w:t>
      </w:r>
      <w:r w:rsidRPr="00C3690C">
        <w:t>http://www1.tiaa-cref.org/public/advice-pl</w:t>
      </w:r>
      <w:r>
        <w:t>anning/market-commentary/market-</w:t>
      </w:r>
      <w:r w:rsidRPr="00C3690C">
        <w:t>commentary/investment_insight_</w:t>
      </w:r>
      <w:r>
        <w:t xml:space="preserve"> </w:t>
      </w:r>
      <w:r w:rsidRPr="00C3690C">
        <w:t>articles/comm_033_2.html</w:t>
      </w:r>
    </w:p>
  </w:footnote>
  <w:footnote w:id="19">
    <w:p w:rsidR="00A57CAB" w:rsidRDefault="00A57CAB">
      <w:pPr>
        <w:pStyle w:val="FootnoteText"/>
      </w:pPr>
      <w:r>
        <w:rPr>
          <w:rStyle w:val="FootnoteReference"/>
        </w:rPr>
        <w:footnoteRef/>
      </w:r>
      <w:r>
        <w:t xml:space="preserve"> </w:t>
      </w:r>
      <w:r w:rsidRPr="00A57CAB">
        <w:t>http://www.investopedia.com/terms/p/passthroughsecurity.asp</w:t>
      </w:r>
    </w:p>
  </w:footnote>
  <w:footnote w:id="20">
    <w:p w:rsidR="0051191D" w:rsidRDefault="0051191D">
      <w:pPr>
        <w:pStyle w:val="FootnoteText"/>
      </w:pPr>
      <w:r>
        <w:rPr>
          <w:rStyle w:val="FootnoteReference"/>
        </w:rPr>
        <w:footnoteRef/>
      </w:r>
      <w:r>
        <w:t xml:space="preserve"> </w:t>
      </w:r>
      <w:r w:rsidRPr="0051191D">
        <w:t>http://www.forbes.com/sites/rice/2013/05/17/inflation-hedges-that-pay-today/</w:t>
      </w:r>
    </w:p>
  </w:footnote>
  <w:footnote w:id="21">
    <w:p w:rsidR="00A57CAB" w:rsidRDefault="00A57CAB" w:rsidP="00A57CAB">
      <w:pPr>
        <w:pStyle w:val="FootnoteText"/>
      </w:pPr>
      <w:r>
        <w:rPr>
          <w:rStyle w:val="FootnoteReference"/>
        </w:rPr>
        <w:footnoteRef/>
      </w:r>
      <w:r>
        <w:t xml:space="preserve"> </w:t>
      </w:r>
      <w:r w:rsidRPr="0051191D">
        <w:t>http://www.forbes.com/sites/rice/2013/05/17/inflation-hedges-that-pay-today/</w:t>
      </w:r>
    </w:p>
  </w:footnote>
  <w:footnote w:id="22">
    <w:p w:rsidR="00A57CAB" w:rsidRDefault="00A57CAB" w:rsidP="00A57CAB">
      <w:pPr>
        <w:pStyle w:val="FootnoteText"/>
      </w:pPr>
      <w:r>
        <w:rPr>
          <w:rStyle w:val="FootnoteReference"/>
        </w:rPr>
        <w:footnoteRef/>
      </w:r>
      <w:r>
        <w:t xml:space="preserve"> </w:t>
      </w:r>
      <w:r w:rsidRPr="0051191D">
        <w:t>http://www.forbes.com/sites/rice/2013/05/17/inflation-hedges-that-pay-today/</w:t>
      </w:r>
    </w:p>
  </w:footnote>
  <w:footnote w:id="23">
    <w:p w:rsidR="00190CBA" w:rsidRDefault="00190CBA">
      <w:pPr>
        <w:pStyle w:val="FootnoteText"/>
      </w:pPr>
      <w:r>
        <w:rPr>
          <w:rStyle w:val="FootnoteReference"/>
        </w:rPr>
        <w:footnoteRef/>
      </w:r>
      <w:r>
        <w:t xml:space="preserve"> </w:t>
      </w:r>
      <w:r w:rsidRPr="00190CBA">
        <w:t>http://www.nuveen.com/Home/Documents/Viewer.aspx?fileId=51014</w:t>
      </w:r>
    </w:p>
  </w:footnote>
  <w:footnote w:id="24">
    <w:p w:rsidR="00A602C7" w:rsidRDefault="00A602C7">
      <w:pPr>
        <w:pStyle w:val="FootnoteText"/>
      </w:pPr>
      <w:r>
        <w:rPr>
          <w:rStyle w:val="FootnoteReference"/>
        </w:rPr>
        <w:footnoteRef/>
      </w:r>
      <w:r>
        <w:t xml:space="preserve"> </w:t>
      </w:r>
      <w:r w:rsidRPr="00A602C7">
        <w:t>http://fa.morganstanleyindividual.com/public/projectfiles/04e5a5a0-07a6-4ff7-bfca-e24a953b30c7.pdf</w:t>
      </w:r>
    </w:p>
  </w:footnote>
  <w:footnote w:id="25">
    <w:p w:rsidR="00A57CAB" w:rsidRDefault="00A57CAB">
      <w:pPr>
        <w:pStyle w:val="FootnoteText"/>
      </w:pPr>
      <w:r>
        <w:rPr>
          <w:rStyle w:val="FootnoteReference"/>
        </w:rPr>
        <w:footnoteRef/>
      </w:r>
      <w:r>
        <w:t xml:space="preserve"> </w:t>
      </w:r>
      <w:r w:rsidRPr="00A57CAB">
        <w:t>http://online.wsj.com/news/articles/SB10001424052702303365804576429673582227828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B92"/>
    <w:rsid w:val="00016B9B"/>
    <w:rsid w:val="00063BDA"/>
    <w:rsid w:val="000F6401"/>
    <w:rsid w:val="00190CBA"/>
    <w:rsid w:val="001A6390"/>
    <w:rsid w:val="00213F2B"/>
    <w:rsid w:val="00300783"/>
    <w:rsid w:val="003C4796"/>
    <w:rsid w:val="0051191D"/>
    <w:rsid w:val="005B4044"/>
    <w:rsid w:val="005F1B92"/>
    <w:rsid w:val="006B1C53"/>
    <w:rsid w:val="00801A90"/>
    <w:rsid w:val="008B045F"/>
    <w:rsid w:val="009D774B"/>
    <w:rsid w:val="00A57CAB"/>
    <w:rsid w:val="00A602C7"/>
    <w:rsid w:val="00C3690C"/>
    <w:rsid w:val="00CE7D3E"/>
    <w:rsid w:val="00D25A57"/>
    <w:rsid w:val="00D42061"/>
    <w:rsid w:val="00EE3DA7"/>
    <w:rsid w:val="00F23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F1B92"/>
    <w:rPr>
      <w:sz w:val="20"/>
      <w:szCs w:val="20"/>
    </w:rPr>
  </w:style>
  <w:style w:type="character" w:customStyle="1" w:styleId="FootnoteTextChar">
    <w:name w:val="Footnote Text Char"/>
    <w:basedOn w:val="DefaultParagraphFont"/>
    <w:link w:val="FootnoteText"/>
    <w:uiPriority w:val="99"/>
    <w:semiHidden/>
    <w:rsid w:val="005F1B92"/>
    <w:rPr>
      <w:sz w:val="20"/>
      <w:szCs w:val="20"/>
    </w:rPr>
  </w:style>
  <w:style w:type="character" w:styleId="FootnoteReference">
    <w:name w:val="footnote reference"/>
    <w:basedOn w:val="DefaultParagraphFont"/>
    <w:uiPriority w:val="99"/>
    <w:semiHidden/>
    <w:unhideWhenUsed/>
    <w:rsid w:val="005F1B92"/>
    <w:rPr>
      <w:vertAlign w:val="superscript"/>
    </w:rPr>
  </w:style>
  <w:style w:type="paragraph" w:styleId="Header">
    <w:name w:val="header"/>
    <w:basedOn w:val="Normal"/>
    <w:link w:val="HeaderChar"/>
    <w:uiPriority w:val="99"/>
    <w:unhideWhenUsed/>
    <w:rsid w:val="005B4044"/>
    <w:pPr>
      <w:tabs>
        <w:tab w:val="center" w:pos="4680"/>
        <w:tab w:val="right" w:pos="9360"/>
      </w:tabs>
    </w:pPr>
  </w:style>
  <w:style w:type="character" w:customStyle="1" w:styleId="HeaderChar">
    <w:name w:val="Header Char"/>
    <w:basedOn w:val="DefaultParagraphFont"/>
    <w:link w:val="Header"/>
    <w:uiPriority w:val="99"/>
    <w:rsid w:val="005B4044"/>
  </w:style>
  <w:style w:type="paragraph" w:styleId="Footer">
    <w:name w:val="footer"/>
    <w:basedOn w:val="Normal"/>
    <w:link w:val="FooterChar"/>
    <w:uiPriority w:val="99"/>
    <w:unhideWhenUsed/>
    <w:rsid w:val="005B4044"/>
    <w:pPr>
      <w:tabs>
        <w:tab w:val="center" w:pos="4680"/>
        <w:tab w:val="right" w:pos="9360"/>
      </w:tabs>
    </w:pPr>
  </w:style>
  <w:style w:type="character" w:customStyle="1" w:styleId="FooterChar">
    <w:name w:val="Footer Char"/>
    <w:basedOn w:val="DefaultParagraphFont"/>
    <w:link w:val="Footer"/>
    <w:uiPriority w:val="99"/>
    <w:rsid w:val="005B40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F1B92"/>
    <w:rPr>
      <w:sz w:val="20"/>
      <w:szCs w:val="20"/>
    </w:rPr>
  </w:style>
  <w:style w:type="character" w:customStyle="1" w:styleId="FootnoteTextChar">
    <w:name w:val="Footnote Text Char"/>
    <w:basedOn w:val="DefaultParagraphFont"/>
    <w:link w:val="FootnoteText"/>
    <w:uiPriority w:val="99"/>
    <w:semiHidden/>
    <w:rsid w:val="005F1B92"/>
    <w:rPr>
      <w:sz w:val="20"/>
      <w:szCs w:val="20"/>
    </w:rPr>
  </w:style>
  <w:style w:type="character" w:styleId="FootnoteReference">
    <w:name w:val="footnote reference"/>
    <w:basedOn w:val="DefaultParagraphFont"/>
    <w:uiPriority w:val="99"/>
    <w:semiHidden/>
    <w:unhideWhenUsed/>
    <w:rsid w:val="005F1B92"/>
    <w:rPr>
      <w:vertAlign w:val="superscript"/>
    </w:rPr>
  </w:style>
  <w:style w:type="paragraph" w:styleId="Header">
    <w:name w:val="header"/>
    <w:basedOn w:val="Normal"/>
    <w:link w:val="HeaderChar"/>
    <w:uiPriority w:val="99"/>
    <w:unhideWhenUsed/>
    <w:rsid w:val="005B4044"/>
    <w:pPr>
      <w:tabs>
        <w:tab w:val="center" w:pos="4680"/>
        <w:tab w:val="right" w:pos="9360"/>
      </w:tabs>
    </w:pPr>
  </w:style>
  <w:style w:type="character" w:customStyle="1" w:styleId="HeaderChar">
    <w:name w:val="Header Char"/>
    <w:basedOn w:val="DefaultParagraphFont"/>
    <w:link w:val="Header"/>
    <w:uiPriority w:val="99"/>
    <w:rsid w:val="005B4044"/>
  </w:style>
  <w:style w:type="paragraph" w:styleId="Footer">
    <w:name w:val="footer"/>
    <w:basedOn w:val="Normal"/>
    <w:link w:val="FooterChar"/>
    <w:uiPriority w:val="99"/>
    <w:unhideWhenUsed/>
    <w:rsid w:val="005B4044"/>
    <w:pPr>
      <w:tabs>
        <w:tab w:val="center" w:pos="4680"/>
        <w:tab w:val="right" w:pos="9360"/>
      </w:tabs>
    </w:pPr>
  </w:style>
  <w:style w:type="character" w:customStyle="1" w:styleId="FooterChar">
    <w:name w:val="Footer Char"/>
    <w:basedOn w:val="DefaultParagraphFont"/>
    <w:link w:val="Footer"/>
    <w:uiPriority w:val="99"/>
    <w:rsid w:val="005B4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0FCFB-69FE-415E-B2E2-0BBE12E38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4</Pages>
  <Words>1388</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2013-10-24T17:24:00Z</dcterms:created>
  <dcterms:modified xsi:type="dcterms:W3CDTF">2013-10-24T21:01:00Z</dcterms:modified>
</cp:coreProperties>
</file>